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الأعور الجواد بن محمد
</w:t>
      </w:r>
    </w:p>
    <w:p>
      <w:pPr>
        <w:jc w:val="start"/>
        <w:bidi/>
      </w:pPr>
      <w:r>
        <w:rPr>
          <w:rFonts w:ascii="arial" w:hAnsi="arial" w:eastAsia="arial" w:cs="arial"/>
          <w:sz w:val="28"/>
          <w:szCs w:val="28"/>
          <w:b w:val="1"/>
          <w:bCs w:val="1"/>
          <w:rtl/>
        </w:rPr>
        <w:t xml:space="preserve">أبو محمد الحسن الأعور الجواد بن محمد
</w:t>
      </w:r>
    </w:p>
    <w:p>
      <w:pPr/>
      <w:r>
        <w:rPr/>
        <w:t xml:space="preserve">أبو محمد الحسن الأعور الجواد بن محمد ابن عبد الله الأشتر الكابلي بن محمد النفس الزكية ابن عبد الله بن الحسن بن الحسن بن علي بن أبي طالب. </w:t>
      </w:r>
    </w:p>
    <w:p/>
    <w:p>
      <w:pPr/>
      <w:r>
        <w:rPr/>
        <w:t xml:space="preserve">قتله طيء في ذي الحجة سنة 251 في عمدة الطالب كان أحد أجواد بني هاشم المعدودين ويكنى أبا محمد قتله طيء في ذي الحجة سنة 251 وقال ابن الشعراني النسابة المعروف بابن سلطين قتل الحسن أيام المعتز (اه).</w:t>
      </w:r>
    </w:p>
    <w:p>
      <w:pPr>
        <w:jc w:val="start"/>
        <w:bidi/>
      </w:pPr>
      <w:r>
        <w:rPr>
          <w:sz w:val="24"/>
          <w:szCs w:val="24"/>
          <w:b w:val="1"/>
          <w:bCs w:val="1"/>
          <w:rtl/>
        </w:rPr>
        <w:t xml:space="preserve">
أعيان الشيعة،(دار التعارف للمطبوعات - بيروت،1983،ط 1،ج 5،ص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2026-06-21T19:41:09+03:00</dcterms:created>
  <dcterms:modified xsi:type="dcterms:W3CDTF">2026-06-21T19:41:09+03:00</dcterms:modified>
</cp:coreProperties>
</file>

<file path=docProps/custom.xml><?xml version="1.0" encoding="utf-8"?>
<Properties xmlns="http://schemas.openxmlformats.org/officeDocument/2006/custom-properties" xmlns:vt="http://schemas.openxmlformats.org/officeDocument/2006/docPropsVTypes"/>
</file>