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ابن أبي عبه الله محمد بن خاله
</w:t>
      </w:r>
    </w:p>
    <w:p>
      <w:pPr>
        <w:jc w:val="start"/>
        <w:bidi/>
      </w:pPr>
      <w:r>
        <w:rPr>
          <w:rFonts w:ascii="arial" w:hAnsi="arial" w:eastAsia="arial" w:cs="arial"/>
          <w:sz w:val="28"/>
          <w:szCs w:val="28"/>
          <w:b w:val="1"/>
          <w:bCs w:val="1"/>
          <w:rtl/>
        </w:rPr>
        <w:t xml:space="preserve">الحسن ابن أبي عبه الله محمد بن خاله
</w:t>
      </w:r>
    </w:p>
    <w:p>
      <w:pPr/>
      <w:r>
        <w:rPr/>
        <w:t xml:space="preserve">الحسن ابن أبي عبه الله محمد بن خاله ابن عمر الطيالسي التميمي أبو محمد</w:t>
      </w:r>
    </w:p>
    <w:p/>
    <w:p>
      <w:pPr/>
      <w:r>
        <w:rPr/>
        <w:t xml:space="preserve">ذكره النجاشي في ترجمة أخيه عبد الله فقال كما يأتي عبد الله ابن أبي عبد الله محمد بن خالد بن عمر الطيالسي أبو العباس التميمي رجل من أصحابنا ثقة سليم الجنبة وكذلك أخوه أبو محمد الحسن وقال العلامة في الخلاصة الحسن ابن أبي عبد الله محمد بن خالد بن عمر الطيالسي أبو العباس التميمي أبو محمد ثقة وقال ابن داود الحسن ابن محمد بن خالد الطيالسي أبو العباس التميمي لم يرو عنهم عليهم السلام ثقة (اه) وعن الشهيد الثاني في حواشي الخلاصة أنه قال اقتصر ابن داود من الكنيتين على أبي العباس وهو أجود (اه) والصواب أن كنيته أبو محمد وأبو العباس كنية أخيه عبد الله كما صرح به النجاشي وجمع العلامة بين الكنيتين من سهو القلم واقتصار ابن داود على أبي العباس ليس بصواب فهو لا يكنى بأبي العباس أصلا وقول الشهيد الثاني أنه أجود عجيب. وفي التعليقة حكم خالي - المجلسي الثاني - بتوثيقه وكذا في البلغة واعترضه تلميذه الشيخ عبد الله السماهيجي بأنه وثقه شيخنا تبعا لشيخنا المجلسي وفيه نظر لأن كتب الرجال المعتمدة خالية عنه غير رجال ابن داود فإنه ذكره ونقل توثيقه عن رجال الشيخ فيمن لم يرو عنهم عليهم السلام وليس له ذكر هناك قال وكم له من أمثال هذه النقولات غير الثابتة (اه) قال وإذا لاحظت ما ذكرناه علمت أنه غفل عن حقيقة الحال والله العاصم في كل حال (اه) فقول السماهيجي أن شيخه وثقه تبعا للمجلسي ليس بصواب لوجود التوثيق في رجال النجاشي كما مر وبذلك يظهر بطلان قوله أن كتب الرجال المعتمدة خالية عنه غير رجال ابن داود وابن داود لم ينقل توثيقه عن رجال الشيخ فإنه لا يقصد بوضع علامة ’’لم’’ وحدها أنه موجود فيمن لم يرو عنهم وعليهم السلام من رجال الشيخ وإنما يقصد بذلك أنه ممن لم يرو عنهم عليهم السلام وإذا أراد وجوده في رجال الشيخ أعقب رمز (لم) برمز (جخ) فليتفطن لذلك فنسبة الخطأ في هذا المقام إلى رجال أبن داود هي من الخطأ.</w:t>
      </w:r>
    </w:p>
    <w:p>
      <w:pPr>
        <w:jc w:val="start"/>
        <w:bidi/>
      </w:pPr>
      <w:r>
        <w:rPr>
          <w:sz w:val="24"/>
          <w:szCs w:val="24"/>
          <w:b w:val="1"/>
          <w:bCs w:val="1"/>
          <w:rtl/>
        </w:rPr>
        <w:t xml:space="preserve">
أعيان الشيعة،(دار التعارف للمطبوعات - بيروت،1983،ط 1،ج 5،ص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2026-06-21T19:44:27+03:00</dcterms:created>
  <dcterms:modified xsi:type="dcterms:W3CDTF">2026-06-21T19:44:27+03:00</dcterms:modified>
</cp:coreProperties>
</file>

<file path=docProps/custom.xml><?xml version="1.0" encoding="utf-8"?>
<Properties xmlns="http://schemas.openxmlformats.org/officeDocument/2006/custom-properties" xmlns:vt="http://schemas.openxmlformats.org/officeDocument/2006/docPropsVTypes"/>
</file>