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محسن بن محمد
</w:t>
      </w:r>
    </w:p>
    <w:p>
      <w:pPr>
        <w:jc w:val="start"/>
        <w:bidi/>
      </w:pPr>
      <w:r>
        <w:rPr>
          <w:rFonts w:ascii="arial" w:hAnsi="arial" w:eastAsia="arial" w:cs="arial"/>
          <w:sz w:val="28"/>
          <w:szCs w:val="28"/>
          <w:b w:val="1"/>
          <w:bCs w:val="1"/>
          <w:rtl/>
        </w:rPr>
        <w:t xml:space="preserve">الشيخ محسن بن محمد
</w:t>
      </w:r>
    </w:p>
    <w:p>
      <w:pPr/>
      <w:r>
        <w:rPr/>
        <w:t xml:space="preserve">الشيخ محسن بن محمد كان حيا سنة 1222.</w:t>
      </w:r>
    </w:p>
    <w:p/>
    <w:p>
      <w:pPr/>
      <w:r>
        <w:rPr/>
        <w:t xml:space="preserve">عالم فاضل جامع له حاشية على معالم الأصول وله كتاب أنوار البصائر في عدة علوم من النحو والمنطق والأصول والفقه والدراية والكلام وغيرها في اثني عشر مجلدا فرغ من المجلد الأول الذي هو في الحكمة في الأمور العامة في أصفهان غرة شوال سنة 1222 وجدناها بخطه في مكتبة الشيخ علي المدرس في طهران سنة 1353 وفات المعاصر ذكر أنوار البصائر في مؤلفات الشيعة. </w:t>
      </w:r>
    </w:p>
    <w:p>
      <w:pPr>
        <w:jc w:val="start"/>
        <w:bidi/>
      </w:pPr>
      <w:r>
        <w:rPr>
          <w:sz w:val="24"/>
          <w:szCs w:val="24"/>
          <w:b w:val="1"/>
          <w:bCs w:val="1"/>
          <w:rtl/>
        </w:rPr>
        <w:t xml:space="preserve">
أعيان الشيعة،(دار التعارف للمطبوعات - بيروت،1983،ط 1،ج 5،ص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2026-06-21T22:56:04+03:00</dcterms:created>
  <dcterms:modified xsi:type="dcterms:W3CDTF">2026-06-21T22:56:04+03:00</dcterms:modified>
</cp:coreProperties>
</file>

<file path=docProps/custom.xml><?xml version="1.0" encoding="utf-8"?>
<Properties xmlns="http://schemas.openxmlformats.org/officeDocument/2006/custom-properties" xmlns:vt="http://schemas.openxmlformats.org/officeDocument/2006/docPropsVTypes"/>
</file>