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مهران
</w:t>
      </w:r>
    </w:p>
    <w:p>
      <w:pPr>
        <w:jc w:val="start"/>
        <w:bidi/>
      </w:pPr>
      <w:r>
        <w:rPr>
          <w:rFonts w:ascii="arial" w:hAnsi="arial" w:eastAsia="arial" w:cs="arial"/>
          <w:sz w:val="28"/>
          <w:szCs w:val="28"/>
          <w:b w:val="1"/>
          <w:bCs w:val="1"/>
          <w:rtl/>
        </w:rPr>
        <w:t xml:space="preserve">الحسن بن علي بن مهران
</w:t>
      </w:r>
    </w:p>
    <w:p>
      <w:pPr/>
      <w:r>
        <w:rPr/>
        <w:t xml:space="preserve">الحسن بن علي بن مهران ذكره الشيخ في رجاله في أصحاب الكاظم عليه السلام. </w:t>
      </w:r>
    </w:p>
    <w:p/>
    <w:p>
      <w:pPr/>
      <w:r>
        <w:rPr/>
        <w:t xml:space="preserve">التمييز</w:t>
      </w:r>
    </w:p>
    <w:p/>
    <w:p>
      <w:pPr/>
      <w:r>
        <w:rPr/>
        <w:t xml:space="preserve">عن جامع الرواة أنه نقل رواية الحسن بن سهل عنه في باب الفيروزج من كتاب الزي والتجمل من الكافي ورواية إبراهيم بن يحيى ابن أبي البلاد في باب الإبط من كتاب الزي من الكافي اه. </w:t>
      </w:r>
    </w:p>
    <w:p>
      <w:pPr>
        <w:jc w:val="start"/>
        <w:bidi/>
      </w:pPr>
      <w:r>
        <w:rPr>
          <w:sz w:val="24"/>
          <w:szCs w:val="24"/>
          <w:b w:val="1"/>
          <w:bCs w:val="1"/>
          <w:rtl/>
        </w:rPr>
        <w:t xml:space="preserve">
أعيان الشيعة،(دار التعارف للمطبوعات - بيروت،1983،ط 1،ج 5،ص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2026-06-22T01:15:52+03:00</dcterms:created>
  <dcterms:modified xsi:type="dcterms:W3CDTF">2026-06-22T01:15:52+03:00</dcterms:modified>
</cp:coreProperties>
</file>

<file path=docProps/custom.xml><?xml version="1.0" encoding="utf-8"?>
<Properties xmlns="http://schemas.openxmlformats.org/officeDocument/2006/custom-properties" xmlns:vt="http://schemas.openxmlformats.org/officeDocument/2006/docPropsVTypes"/>
</file>