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نصر الحسن بن علي القمي
</w:t>
      </w:r>
    </w:p>
    <w:p>
      <w:pPr>
        <w:jc w:val="start"/>
        <w:bidi/>
      </w:pPr>
      <w:r>
        <w:rPr>
          <w:rFonts w:ascii="arial" w:hAnsi="arial" w:eastAsia="arial" w:cs="arial"/>
          <w:sz w:val="28"/>
          <w:szCs w:val="28"/>
          <w:b w:val="1"/>
          <w:bCs w:val="1"/>
          <w:rtl/>
        </w:rPr>
        <w:t xml:space="preserve">الشيخ أبو نصر الحسن بن علي القمي
</w:t>
      </w:r>
    </w:p>
    <w:p>
      <w:pPr/>
      <w:r>
        <w:rPr/>
        <w:t xml:space="preserve">الشيخ أبو نصر الحسن بن علي القمي حكي عن الجزء الثاني من مجلة الشرق أن له كتاب البارع في أحكام النجوم والطوالع من الكتب الفارسية القديمة توجد نسخة ناقصة منه في المكتبة الملية في برلين تاريخ كتابتها سنة 806 وأنه استظهر أنه ألف حدود سنة 327 وربما احتمل أن يكون المؤلف هو نصير الدين محمد بن الحسن القمي الطوسي وحصل تحريف في اسمه لأن له كتاب البارع في التقويم وأحكام النجوم ويوجد في مكتبات برلين كما يظهر من فهرسها.</w:t>
      </w:r>
    </w:p>
    <w:p>
      <w:pPr>
        <w:jc w:val="start"/>
        <w:bidi/>
      </w:pPr>
      <w:r>
        <w:rPr>
          <w:sz w:val="24"/>
          <w:szCs w:val="24"/>
          <w:b w:val="1"/>
          <w:bCs w:val="1"/>
          <w:rtl/>
        </w:rPr>
        <w:t xml:space="preserve">
أعيان الشيعة،(دار التعارف للمطبوعات - بيروت،1983،ط 1،ج 5،ص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2026-06-22T02:31:24+03:00</dcterms:created>
  <dcterms:modified xsi:type="dcterms:W3CDTF">2026-06-22T02:31:24+03:00</dcterms:modified>
</cp:coreProperties>
</file>

<file path=docProps/custom.xml><?xml version="1.0" encoding="utf-8"?>
<Properties xmlns="http://schemas.openxmlformats.org/officeDocument/2006/custom-properties" xmlns:vt="http://schemas.openxmlformats.org/officeDocument/2006/docPropsVTypes"/>
</file>