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الحسن بن علي الشيزري
</w:t>
      </w:r>
    </w:p>
    <w:p>
      <w:pPr>
        <w:jc w:val="start"/>
        <w:bidi/>
      </w:pPr>
      <w:r>
        <w:rPr>
          <w:rFonts w:ascii="arial" w:hAnsi="arial" w:eastAsia="arial" w:cs="arial"/>
          <w:sz w:val="28"/>
          <w:szCs w:val="28"/>
          <w:b w:val="1"/>
          <w:bCs w:val="1"/>
          <w:rtl/>
        </w:rPr>
        <w:t xml:space="preserve">أبو علي الحسن بن علي الشيزري
</w:t>
      </w:r>
    </w:p>
    <w:p>
      <w:pPr/>
      <w:r>
        <w:rPr/>
        <w:t xml:space="preserve">أبو علي الحسن بن علي الشيزري (الشيزري) بفتح الشين المعجمة وسكون المثناة التحتية ومع الزاي وكسر الراء بعدها ياء بالنسبة نسبة إلى شيزر في المعاني هي مدينة وقلعة حصينة بالشام قريبة من حمص اه. </w:t>
      </w:r>
    </w:p>
    <w:p/>
    <w:p>
      <w:pPr/>
      <w:r>
        <w:rPr/>
        <w:t xml:space="preserve">في تاريخ ابن عساكر: قدم دمشق وحدث بها عن ابن خالويه الهمذاني النحوي وروى عنه علي بن الخضر السلمي بإسناده إلى علي بن أبي طالب أنه قال قال رسول الله صلى الله عليه وسلم ’’تحشر ابنتي فاطمة وعليها حلة قد عجنت بماء الحيوان فينظر الخلائق إليها فيتعجبون منها وتكسى أيضا ألف حلة من حلل الجنة مكتوب على كل منها بخط أخضر ادخلوا ابنة نبيي الجنة على أحسن صورة وأحسن كرامة وأحسن منظر فتزف كما تزف العروس وتتوج بتاج العز ويكون معها سبعون ألف جارية حورية عينية في يد كل جارية منديل من استبرق وقد زين لك تلك الجواري منذ خلقهن الله اه. ومن ذلك قد يظن تشيعه. </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2026-06-22T03:44:52+03:00</dcterms:created>
  <dcterms:modified xsi:type="dcterms:W3CDTF">2026-06-22T03:44:52+03:00</dcterms:modified>
</cp:coreProperties>
</file>

<file path=docProps/custom.xml><?xml version="1.0" encoding="utf-8"?>
<Properties xmlns="http://schemas.openxmlformats.org/officeDocument/2006/custom-properties" xmlns:vt="http://schemas.openxmlformats.org/officeDocument/2006/docPropsVTypes"/>
</file>