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حسن علي ابن الشيخ حسين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حسن علي ابن الشيخ حسين علي
</w:t>
      </w:r>
    </w:p>
    <w:p>
      <w:pPr/>
      <w:r>
        <w:rPr/>
        <w:t xml:space="preserve">الشيخ حسن علي ابن الشيخ حسين علي الهمذاني الحائري</w:t>
      </w:r>
    </w:p>
    <w:p/>
    <w:p>
      <w:pPr/>
      <w:r>
        <w:rPr/>
        <w:t xml:space="preserve">توفي بكربلاء سنة 1327.</w:t>
      </w:r>
    </w:p>
    <w:p/>
    <w:p>
      <w:pPr/>
      <w:r>
        <w:rPr/>
        <w:t xml:space="preserve">عالم فاضل له كتاب مشكاة الولاية مطبوع وله أنيس المحبين في نظم جملة من غزوات أمير المؤمنين عليه السلام بالفارسية.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2026-06-22T04:53:51+03:00</dcterms:created>
  <dcterms:modified xsi:type="dcterms:W3CDTF">2026-06-22T04:53:51+03:00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