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بن عبد الله بن علي الهشترودي 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بن عبد الله بن علي الهشترودي التبريزي
</w:t>
      </w:r>
    </w:p>
    <w:p>
      <w:pPr/>
      <w:r>
        <w:rPr/>
        <w:t xml:space="preserve">الشيخ حسن بن عبد الله بن علي الهشترودي التبريزي توفي في كرند راجعا إلى زيارة العتبات بالعراق سنة 1304 ودفن بها. </w:t>
      </w:r>
    </w:p>
    <w:p/>
    <w:p>
      <w:pPr/>
      <w:r>
        <w:rPr/>
        <w:t xml:space="preserve">(الهشترودي) نسبة إلى هشتروداي ثمانية أنهار اسم قرية من قرى تبريز فيها ثمانية أنهار.</w:t>
      </w:r>
    </w:p>
    <w:p/>
    <w:p>
      <w:pPr/>
      <w:r>
        <w:rPr/>
        <w:t xml:space="preserve">كان عالما فاضلا أدرك درس الشيخ مرتضى الأنصاري وكتب تقرير بحثه له من المؤلفات:</w:t>
      </w:r>
    </w:p>
    <w:p/>
    <w:p>
      <w:pPr/>
      <w:r>
        <w:rPr/>
        <w:t xml:space="preserve">(1) التقريرات لبحث أستاذه المذكور في مجلد كبير وجد بخطه وفيه من الأصول مباحث الاجتهاد والتقليد ومن الفقه شرحا على الشرائع الصلاة والزكاة والصوم كلها غير تامة وبعض فروع النذر والوقف. </w:t>
      </w:r>
    </w:p>
    <w:p/>
    <w:p>
      <w:pPr/>
      <w:r>
        <w:rPr/>
        <w:t xml:space="preserve">(2) محسن الأبرار في ترجمة عاشر البحار.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2026-06-22T08:28:00+03:00</dcterms:created>
  <dcterms:modified xsi:type="dcterms:W3CDTF">2026-06-22T08:28:00+03:00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