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الشيخ جمال الدين حسن بن عبد الكريم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الشيخ جمال الدين حسن بن عبد الكريم
</w:t>
      </w:r>
    </w:p>
    <w:p>
      <w:pPr/>
      <w:r>
        <w:rPr/>
        <w:t xml:space="preserve">الشيخ جمال الدين حسن بن عبد الكريم الشهير بالفتال خادم الروضة الشريفة الغروية</w:t>
      </w:r>
    </w:p>
    <w:p/>
    <w:p>
      <w:pPr/>
      <w:r>
        <w:rPr/>
        <w:t xml:space="preserve">يأتي بعنوان الحسن بن علي بن عبد الكريم.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أعيان الشيعة،(دار التعارف للمطبوعات - بيروت،1983،ط 1،ج 5،ص 134)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2026-06-22T09:32:37+03:00</dcterms:created>
  <dcterms:modified xsi:type="dcterms:W3CDTF">2026-06-22T09:32:37+03:00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