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الحسن ابن أبي عبد الله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الحسن ابن أبي عبد الله أحمد
</w:t>
      </w:r>
    </w:p>
    <w:p>
      <w:pPr/>
      <w:r>
        <w:rPr/>
        <w:t xml:space="preserve">أبو محمد الحسن ابن أبي عبد الله أحمد نقيب قم ابن أحمد الأعرج بن أحمد بن موسى </w:t>
      </w:r>
    </w:p>
    <w:p/>
    <w:p>
      <w:pPr/>
      <w:r>
        <w:rPr/>
        <w:t xml:space="preserve">المبرقع ابن الإمام محمد الجواد عليه السلام</w:t>
      </w:r>
    </w:p>
    <w:p/>
    <w:p>
      <w:pPr/>
      <w:r>
        <w:rPr/>
        <w:t xml:space="preserve">في الشجرة الطيبة: كان رجلا متأدبا فاضلا وفي سنة 372 عينوه في الوظيفة -أي النقابة.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2026-06-25T00:04:28+03:00</dcterms:created>
  <dcterms:modified xsi:type="dcterms:W3CDTF">2026-06-25T00:04:28+03:00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