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بن ريذويه القمي
</w:t>
      </w:r>
    </w:p>
    <w:p>
      <w:pPr>
        <w:jc w:val="start"/>
        <w:bidi/>
      </w:pPr>
      <w:r>
        <w:rPr>
          <w:rFonts w:ascii="arial" w:hAnsi="arial" w:eastAsia="arial" w:cs="arial"/>
          <w:sz w:val="28"/>
          <w:szCs w:val="28"/>
          <w:b w:val="1"/>
          <w:bCs w:val="1"/>
          <w:rtl/>
        </w:rPr>
        <w:t xml:space="preserve">الحسن بن أحمد بن ريذويه القمي
</w:t>
      </w:r>
    </w:p>
    <w:p>
      <w:pPr/>
      <w:r>
        <w:rPr/>
        <w:t xml:space="preserve">الحسن بن أحمد بن ريذويه القمي (ريذويه) ضبطه العلامة في الخلاصة بالراء المكسورة والمثناة التحتية الساكنة والذال المعجمة المفتوحة والواو الساكنة والمثناة التحتية المفتوحة ولكنه في إيضاح الاشتباه جعل الذال مضمومة وبذلك صرح الشهيد الثاني. قال النجاشي الحسن بن أحمد بن ريذويه القمي ثقة من أصحابنا القميين له المزار ومثله في الخلاصة على عادته. وابن داود ذكره مرة بعنوان الحسن ومرة بعنوان الحسين كلاهما عن النجاشي مع التوثيق وفي النقد الظاهر أن ذكره بعنوان الحسين اشتباه. لأن النجاشي ما ذكره إلا الحسن كما نقلناه ونقله العلامة في الخلاصة اه. </w:t>
      </w:r>
    </w:p>
    <w:p>
      <w:pPr>
        <w:jc w:val="start"/>
        <w:bidi/>
      </w:pPr>
      <w:r>
        <w:rPr>
          <w:sz w:val="24"/>
          <w:szCs w:val="24"/>
          <w:b w:val="1"/>
          <w:bCs w:val="1"/>
          <w:rtl/>
        </w:rPr>
        <w:t xml:space="preserve">
أعيان الشيعة،(دار التعارف للمطبوعات - بيروت،1983،ط 1،ج 5،ص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2026-06-25T01:13:58+03:00</dcterms:created>
  <dcterms:modified xsi:type="dcterms:W3CDTF">2026-06-25T01:13:58+03:00</dcterms:modified>
</cp:coreProperties>
</file>

<file path=docProps/custom.xml><?xml version="1.0" encoding="utf-8"?>
<Properties xmlns="http://schemas.openxmlformats.org/officeDocument/2006/custom-properties" xmlns:vt="http://schemas.openxmlformats.org/officeDocument/2006/docPropsVTypes"/>
</file>