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بن أحمد بن ركن الدين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بن أحمد بن ركن الدين الحسيني
</w:t>
      </w:r>
    </w:p>
    <w:p>
      <w:pPr/>
      <w:r>
        <w:rPr/>
        <w:t xml:space="preserve">السيد حسن بن أحمد بن ركن الدين الحسيني الكاشاني نزيل المشهد الرضوي</w:t>
      </w:r>
    </w:p>
    <w:p/>
    <w:p>
      <w:pPr/>
      <w:r>
        <w:rPr/>
        <w:t xml:space="preserve">توفي سنة 1342 بالمشهد الرضوي. </w:t>
      </w:r>
    </w:p>
    <w:p/>
    <w:p>
      <w:pPr/>
      <w:r>
        <w:rPr/>
        <w:t xml:space="preserve">وصفه صاحب الذريعة بالعالم الجليل وقال: أن له تصانيف تذكر في محالها ووالده السيد أحمد المعبر عنه في الإجازات بعلامة الدهر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2026-06-25T01:16:22+03:00</dcterms:created>
  <dcterms:modified xsi:type="dcterms:W3CDTF">2026-06-25T01:16:22+03:00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