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ابان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ابان القمي
</w:t>
      </w:r>
    </w:p>
    <w:p>
      <w:pPr/>
      <w:r>
        <w:rPr/>
        <w:t xml:space="preserve">الحسن بن ابان القمي غير مذكور في الرجال، وإنما ذكر الشيخ في الفهرست في ترجمة الحسين بن سعيد الأهوازي - كما يأتي - أنه تحول إلى قم فنزل على الحسن بن أبان. وقال الشهيد الثاني في حواشي الخلاصة: إن الحسن بن أبان غير مذكور في كتب الرجال. مع إن هذا المذكور يدل على أنه جليل مشهور. وفي النقد: ربما يدل هذا على عظم شأنه. ولذلك عد صاحبا الوجيزة والبلغة حديثه حسنا وهو كذلك. وللحسن هذا ابن اسمه الحسين سيأتي في بابه كثرة رواياته وجلالة شأنه.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محمد بن إسحاق بن الحسين بن عمرو عنه في باب النية وكتاب الكفر والإيمان من 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2026-06-26T05:03:36+03:00</dcterms:created>
  <dcterms:modified xsi:type="dcterms:W3CDTF">2026-06-26T05:03:36+03:00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