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المحاسبي
</w:t>
      </w:r>
    </w:p>
    <w:p>
      <w:pPr>
        <w:jc w:val="start"/>
        <w:bidi/>
      </w:pPr>
      <w:r>
        <w:rPr>
          <w:rFonts w:ascii="arial" w:hAnsi="arial" w:eastAsia="arial" w:cs="arial"/>
          <w:sz w:val="28"/>
          <w:szCs w:val="28"/>
          <w:b w:val="1"/>
          <w:bCs w:val="1"/>
          <w:rtl/>
        </w:rPr>
        <w:t xml:space="preserve">الحارث المحاسبي
</w:t>
      </w:r>
    </w:p>
    <w:p>
      <w:pPr/>
      <w:r>
        <w:rPr/>
        <w:t xml:space="preserve">الحارث المحاسبي  الحارث بن أسد المحاسبي، أبو عبد الله: من أكابر الصوفية. كان عالما بالأصول والمعاملات، واعظا مبكيا، وله تصانيف في الزهد والرد على المعتزلة وغيرهم. ولد ونشأ بالبصرة، ومات ببغداد. وهو أستاذ أكثر البغدادين في عصره. من كتبه (آداب النفوس - خ) صغير، و (شرح المعرفة - خ) تصرف، و (المسائل في أعمال القلوب والجوارح - خ) رسالة، و (المسائل في الزهد وغيره - خ) رسالة، و (البعث والنشور - خ) رسالة، و (مائية العقل ومعناه واختلاف الناس فيه - خ) و (الرعاية لحقوق الله عز وجل - ط) ومن كلامه: خيار هذه الأمة الذين لا تشغلهم آخرتهم عن دنياهم ولا دنياهم عن آخرتهم</w:t>
      </w:r>
    </w:p>
    <w:p>
      <w:pPr>
        <w:jc w:val="start"/>
        <w:bidi/>
      </w:pPr>
      <w:r>
        <w:rPr>
          <w:sz w:val="24"/>
          <w:szCs w:val="24"/>
          <w:b w:val="1"/>
          <w:bCs w:val="1"/>
          <w:rtl/>
        </w:rPr>
        <w:t xml:space="preserve">
الأعلام،(دار العلم للملايين - بيروت،2002،ط 15،ج 2،ص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2026-07-07T00:38:58+03:00</dcterms:created>
  <dcterms:modified xsi:type="dcterms:W3CDTF">2026-07-07T00:38:58+03:00</dcterms:modified>
</cp:coreProperties>
</file>

<file path=docProps/custom.xml><?xml version="1.0" encoding="utf-8"?>
<Properties xmlns="http://schemas.openxmlformats.org/officeDocument/2006/custom-properties" xmlns:vt="http://schemas.openxmlformats.org/officeDocument/2006/docPropsVTypes"/>
</file>