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آقا حبيب الله ابن آقا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آقا حبيب الله ابن آقا عبد الله
</w:t>
      </w:r>
    </w:p>
    <w:p>
      <w:pPr/>
      <w:r>
        <w:rPr/>
        <w:t xml:space="preserve">آقا حبيب الله ابن آقا عبد الله ابن آقا محمد جعفر ابن آقا محمد علي </w:t>
      </w:r>
    </w:p>
    <w:p/>
    <w:p>
      <w:pPr/>
      <w:r>
        <w:rPr/>
        <w:t xml:space="preserve">ابن آقا محمد باقر الوحيد البهبهاني </w:t>
      </w:r>
    </w:p>
    <w:p/>
    <w:p>
      <w:pPr/>
      <w:r>
        <w:rPr/>
        <w:t xml:space="preserve">توفي سنة 1214.</w:t>
      </w:r>
    </w:p>
    <w:p/>
    <w:p>
      <w:pPr/>
      <w:r>
        <w:rPr/>
        <w:t xml:space="preserve">عالم فاضل له معرفة بالحكمة الإلهية، وله تفسير سورة التوحيد كذا أفاد بعض أهل بيته والعهدة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2026-06-27T10:41:15+03:00</dcterms:created>
  <dcterms:modified xsi:type="dcterms:W3CDTF">2026-06-27T10:41:15+03:00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