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هرثمة
</w:t>
      </w:r>
    </w:p>
    <w:p>
      <w:pPr>
        <w:jc w:val="start"/>
        <w:bidi/>
      </w:pPr>
      <w:r>
        <w:rPr>
          <w:rFonts w:ascii="arial" w:hAnsi="arial" w:eastAsia="arial" w:cs="arial"/>
          <w:sz w:val="28"/>
          <w:szCs w:val="28"/>
          <w:b w:val="1"/>
          <w:bCs w:val="1"/>
          <w:rtl/>
        </w:rPr>
        <w:t xml:space="preserve">حاتم بن هرثمة
</w:t>
      </w:r>
    </w:p>
    <w:p>
      <w:pPr/>
      <w:r>
        <w:rPr/>
        <w:t xml:space="preserve">حاتم بن هرثمة  حاتم بن هرثمة بن أعين: وال، من القادة في الدولة العباسية. ولي شرطة مصر سنة 178هـ ، في ولاية أبيه عليها. وصرف عنها، فعاد إلى العراق، فأعاده الأمين العباسي أميرا عليها سنة 194هـ ، فقصدها، ونزل ببلبيس، وطلب أهل الأحواف فجاؤوه وعاهدوه على تأدية الخراج. ثم نقضوا عهدهم، فبعث إليهم جيشا فقاتلوه، فظفر بهم، وانتقل إلى الفسطاط ومعه رهائن منهم. وسكنت مصر في أيامه، وابتنى فيها القبة التي كانت تعرف بقبة الهواء. وعزله الأمين سنة 195هـ ، بعد 18 شهرا إلا أياما، من ولايته</w:t>
      </w:r>
    </w:p>
    <w:p>
      <w:pPr>
        <w:jc w:val="start"/>
        <w:bidi/>
      </w:pPr>
      <w:r>
        <w:rPr>
          <w:sz w:val="24"/>
          <w:szCs w:val="24"/>
          <w:b w:val="1"/>
          <w:bCs w:val="1"/>
          <w:rtl/>
        </w:rPr>
        <w:t xml:space="preserve">
الأعلام،(دار العلم للملايين - بيروت،2002،ط 15،ج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2026-07-07T00:35:29+03:00</dcterms:created>
  <dcterms:modified xsi:type="dcterms:W3CDTF">2026-07-07T00:35:29+03:00</dcterms:modified>
</cp:coreProperties>
</file>

<file path=docProps/custom.xml><?xml version="1.0" encoding="utf-8"?>
<Properties xmlns="http://schemas.openxmlformats.org/officeDocument/2006/custom-properties" xmlns:vt="http://schemas.openxmlformats.org/officeDocument/2006/docPropsVTypes"/>
</file>