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أبي جعر الأحول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أبي جعر الأحول
</w:t>
      </w:r>
    </w:p>
    <w:p>
      <w:pPr/>
      <w:r>
        <w:rPr/>
        <w:t xml:space="preserve">الحارث بن أبي جعر الأحول يأتي بعنوان الحارث بن محمد بن النعمان.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2026-06-27T17:49:45+03:00</dcterms:created>
  <dcterms:modified xsi:type="dcterms:W3CDTF">2026-06-27T17:49:45+03:00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