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غياث الدين جهانكير ابن الأمير تيمور
</w:t>
      </w:r>
    </w:p>
    <w:p>
      <w:pPr>
        <w:jc w:val="start"/>
        <w:bidi/>
      </w:pPr>
      <w:r>
        <w:rPr>
          <w:rFonts w:ascii="arial" w:hAnsi="arial" w:eastAsia="arial" w:cs="arial"/>
          <w:sz w:val="28"/>
          <w:szCs w:val="28"/>
          <w:b w:val="1"/>
          <w:bCs w:val="1"/>
          <w:rtl/>
        </w:rPr>
        <w:t xml:space="preserve">الأمير غياث الدين جهانكير ابن الأمير تيمور
</w:t>
      </w:r>
    </w:p>
    <w:p>
      <w:pPr/>
      <w:r>
        <w:rPr/>
        <w:t xml:space="preserve">الأمير غياث الدين جهانكير ابن الأمير تيمور الكوركاني المعروف بتيمورلنك</w:t>
      </w:r>
    </w:p>
    <w:p/>
    <w:p>
      <w:pPr/>
      <w:r>
        <w:rPr/>
        <w:t xml:space="preserve">توفي في أوائل سلطنة أبيه تيمور سنة 776 في سمرقند وخلف عشرة أولاد أولهم محمد سلطان كان تيمور جعله ولي عهده فتوفي في حياة جده بعد فتحه بلاد الروم سنة 805 هكذا في التاريخ الفارسي الذي أشرنا إليه في ترجمة تيمور.</w:t>
      </w:r>
    </w:p>
    <w:p>
      <w:pPr>
        <w:jc w:val="start"/>
        <w:bidi/>
      </w:pPr>
      <w:r>
        <w:rPr>
          <w:sz w:val="24"/>
          <w:szCs w:val="24"/>
          <w:b w:val="1"/>
          <w:bCs w:val="1"/>
          <w:rtl/>
        </w:rPr>
        <w:t xml:space="preserve">
أعيان الشيعة،(دار التعارف للمطبوعات - بيروت،1983،ط 1،ج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2026-06-27T22:14:34+03:00</dcterms:created>
  <dcterms:modified xsi:type="dcterms:W3CDTF">2026-06-27T22:14:34+03:00</dcterms:modified>
</cp:coreProperties>
</file>

<file path=docProps/custom.xml><?xml version="1.0" encoding="utf-8"?>
<Properties xmlns="http://schemas.openxmlformats.org/officeDocument/2006/custom-properties" xmlns:vt="http://schemas.openxmlformats.org/officeDocument/2006/docPropsVTypes"/>
</file>