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جهانشاه بن قره يوسف بن قره محمد
</w:t>
      </w:r>
    </w:p>
    <w:p>
      <w:pPr>
        <w:jc w:val="start"/>
        <w:bidi/>
      </w:pPr>
      <w:r>
        <w:rPr>
          <w:rFonts w:ascii="arial" w:hAnsi="arial" w:eastAsia="arial" w:cs="arial"/>
          <w:sz w:val="28"/>
          <w:szCs w:val="28"/>
          <w:b w:val="1"/>
          <w:bCs w:val="1"/>
          <w:rtl/>
        </w:rPr>
        <w:t xml:space="preserve">جهانشاه بن قره يوسف بن قره محمد
</w:t>
      </w:r>
    </w:p>
    <w:p>
      <w:pPr/>
      <w:r>
        <w:rPr/>
        <w:t xml:space="preserve">جهانشاه بن قره يوسف بن قره محمد ابن بيرام خواجة التركماني</w:t>
      </w:r>
    </w:p>
    <w:p/>
    <w:p>
      <w:pPr/>
      <w:r>
        <w:rPr/>
        <w:t xml:space="preserve">قتل سنة 872 وعمره 70 سنة.</w:t>
      </w:r>
    </w:p>
    <w:p/>
    <w:p>
      <w:pPr/>
      <w:r>
        <w:rPr/>
        <w:t xml:space="preserve">هو من طائفة تركمانية تسمى قره قويونلو كانت لها دولة ظهرت أيام استيلاء تيمورلنك على قسم من شمال إيران والعراق سنة 782 فاستولت على آذربيجان والعراق العربي زهاء 66 سنة وهناك طائفة أخرى تركمانية تسمى آق قويونلو. في دائرة المعارف الإسلامية آق قويونلو معناه قبيلة القطيع الأبيض. وعليه قره قويونلو معناه قبيلة القطيع الأسود وفي الدائرة أيضا إن طائفة آق قويونلو حارب امراؤها القره قويونلو ’’انتهى’’ واستدل صاحب مجالس المؤمنين على تشيع طائفة قره قويونلو بما كان منقوشا على خواتيم آرايش بيكم وأوراق سلطان ابنتي إسكندر بن قرا يوسف وبوداع ابن المترجم واسفند بن قرا يوسف عن تذكرة السمرقندي ص 457 طبع برلين أنه قال في حق المترجم: كان ضعيف الاعتقاد في المذهب -ولا ندري أي مذهب يريده- استولى على العراق وآذربيجان وغالب بلاد إيران وغلب على ملكه السلطان حسين بهادر وقتل كثيرا من أمرائه وتمرد عليه ولده بوداق في بغداد وحاصره فيها سنة ونصف سنة فاشتد القحط على بوداق وأصحابه فاصطلح مع أبيه وفي سنة 871 قتله أخوه صلح محمدي بن جهانشاه وفتح جهانشاه ديار بكر وعند رجوعه منها اغتاله الأمير حسن بيك آققوينلو بين جبلين فقتله وأكثر قواده وأمرائه في شهور سنة 872 وعمره إذ ذاك سبعون سنة قضى منها ثلاث عشرة سنة في سلطنة آذربيجان نيابة عن شاهرخ ابن الأمير تيمور واثنتين وعشرين سنة في العراقين وآذربيجان وفارس وكرمان إلى هرمز مستقلا ’’انتهى’’.</w:t>
      </w:r>
    </w:p>
    <w:p>
      <w:pPr>
        <w:jc w:val="start"/>
        <w:bidi/>
      </w:pPr>
      <w:r>
        <w:rPr>
          <w:sz w:val="24"/>
          <w:szCs w:val="24"/>
          <w:b w:val="1"/>
          <w:bCs w:val="1"/>
          <w:rtl/>
        </w:rPr>
        <w:t xml:space="preserve">
أعيان الشيعة،(دار التعارف للمطبوعات - بيروت،1983،ط 1،ج 4،ص 249)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2026-06-28T23:42:59+03:00</dcterms:created>
  <dcterms:modified xsi:type="dcterms:W3CDTF">2026-06-28T23:42:59+03:00</dcterms:modified>
</cp:coreProperties>
</file>

<file path=docProps/custom.xml><?xml version="1.0" encoding="utf-8"?>
<Properties xmlns="http://schemas.openxmlformats.org/officeDocument/2006/custom-properties" xmlns:vt="http://schemas.openxmlformats.org/officeDocument/2006/docPropsVTypes"/>
</file>