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جهان خاتون الشيرازية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جهان خاتون الشيرازية
</w:t>
      </w:r>
    </w:p>
    <w:p>
      <w:pPr/>
      <w:r>
        <w:rPr/>
        <w:t xml:space="preserve">جهان خاتون الشيرازية جهان بالفارسية اسم الدنيا. في كتاب خيرات حسان ما تعريبه: كانت شاعرة صاحبة أموال معاصرة لعبيد الزاكاني ويحضر في مجلسها غالبا الشعراء والظرفاء ويحترمونها كمال الاحترام ومن شعرها الرشيق قولها بالفارسية: </w:t>
      </w:r>
    </w:p>
    <w:p>
      <w:pPr>
        <w:jc w:val="center"/>
      </w:pPr>
      <w:r>
        <w:rPr>
          <w:color w:val="ff0000"/>
        </w:rPr>
        <w:t xml:space="preserve">مصوريست كه صورة ز آب ميسازد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ز ذره ذره ء خاك آفتاب ميسازد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2026-06-27T22:02:42+03:00</dcterms:created>
  <dcterms:modified xsi:type="dcterms:W3CDTF">2026-06-27T22:02:42+03:00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