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آقا جمال الدين بن ملا أسد الله البروجردي
</w:t>
      </w:r>
    </w:p>
    <w:p>
      <w:pPr>
        <w:jc w:val="start"/>
        <w:bidi/>
      </w:pPr>
      <w:r>
        <w:rPr>
          <w:rFonts w:ascii="arial" w:hAnsi="arial" w:eastAsia="arial" w:cs="arial"/>
          <w:sz w:val="28"/>
          <w:szCs w:val="28"/>
          <w:b w:val="1"/>
          <w:bCs w:val="1"/>
          <w:rtl/>
        </w:rPr>
        <w:t xml:space="preserve">آقا جمال الدين بن ملا أسد الله البروجردي
</w:t>
      </w:r>
    </w:p>
    <w:p>
      <w:pPr/>
      <w:r>
        <w:rPr/>
        <w:t xml:space="preserve">آقا جمال الدين بن ملا أسد الله البروجردي توفي سنة 1302.</w:t>
      </w:r>
    </w:p>
    <w:p/>
    <w:p>
      <w:pPr/>
      <w:r>
        <w:rPr/>
        <w:t xml:space="preserve">في كتاب المآثر والآثار كان من المسلم مقام فقاهته وتبحره في الحديث والتفسير ودرجة فضله وتتبعه في جميع العلوم الشرعية والفنون الإسلامية وفي أواخر أيامه تشرف بالمشهد الرضوي ثم جاء إلى طهران وبقي فيها عدة سنين مشغولا بترويج الشريعة وإرشاد العباد وقلما يوجد نظير فصاحة لسانه حينما يخطب على المنبر ولم يسمع بأحد صار له قبول عند العامة كما صار له في طهران.</w:t>
      </w:r>
    </w:p>
    <w:p>
      <w:pPr>
        <w:jc w:val="start"/>
        <w:bidi/>
      </w:pPr>
      <w:r>
        <w:rPr>
          <w:sz w:val="24"/>
          <w:szCs w:val="24"/>
          <w:b w:val="1"/>
          <w:bCs w:val="1"/>
          <w:rtl/>
        </w:rPr>
        <w:t xml:space="preserve">
أعيان الشيعة،(دار التعارف للمطبوعات - بيروت،1983،ط 1،ج 4،ص 206)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2026-06-29T02:37:12+03:00</dcterms:created>
  <dcterms:modified xsi:type="dcterms:W3CDTF">2026-06-29T02:37:12+03:00</dcterms:modified>
</cp:coreProperties>
</file>

<file path=docProps/custom.xml><?xml version="1.0" encoding="utf-8"?>
<Properties xmlns="http://schemas.openxmlformats.org/officeDocument/2006/custom-properties" xmlns:vt="http://schemas.openxmlformats.org/officeDocument/2006/docPropsVTypes"/>
</file>