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جلال الدين بن المهني العلوي
</w:t>
      </w:r>
    </w:p>
    <w:p>
      <w:pPr>
        <w:jc w:val="start"/>
        <w:bidi/>
      </w:pPr>
      <w:r>
        <w:rPr>
          <w:rFonts w:ascii="arial" w:hAnsi="arial" w:eastAsia="arial" w:cs="arial"/>
          <w:sz w:val="28"/>
          <w:szCs w:val="28"/>
          <w:b w:val="1"/>
          <w:bCs w:val="1"/>
          <w:rtl/>
        </w:rPr>
        <w:t xml:space="preserve">السيد جلال الدين بن المهني العلوي
</w:t>
      </w:r>
    </w:p>
    <w:p>
      <w:pPr/>
      <w:r>
        <w:rPr/>
        <w:t xml:space="preserve">السيد جلال الدين بن المهني العلوي له كتاب ترجمان الزمان قال الصفدي في أوائل كتابه الوافي بالوفيات: التواريخ الجامعة وعد منها تاريخ ابن جرير الطبري والكامل لابن الأثير وغيرهما ثم قال ترجمان الزمان لجمال الدين بن المهنى العلوي وسماه صاحب كشف الظنون ترجمان الزمان لا الزمان فقال ترجمان الزمن لجلال الدين المهني العلوي.</w:t>
      </w:r>
    </w:p>
    <w:p>
      <w:pPr>
        <w:jc w:val="start"/>
        <w:bidi/>
      </w:pPr>
      <w:r>
        <w:rPr>
          <w:sz w:val="24"/>
          <w:szCs w:val="24"/>
          <w:b w:val="1"/>
          <w:bCs w:val="1"/>
          <w:rtl/>
        </w:rPr>
        <w:t xml:space="preserve">
أعيان الشيعة،(دار التعارف للمطبوعات - بيروت،1983،ط 1،ج 4،ص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2026-06-30T05:12:35+03:00</dcterms:created>
  <dcterms:modified xsi:type="dcterms:W3CDTF">2026-06-30T05:12:35+03:00</dcterms:modified>
</cp:coreProperties>
</file>

<file path=docProps/custom.xml><?xml version="1.0" encoding="utf-8"?>
<Properties xmlns="http://schemas.openxmlformats.org/officeDocument/2006/custom-properties" xmlns:vt="http://schemas.openxmlformats.org/officeDocument/2006/docPropsVTypes"/>
</file>