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الهذيل
</w:t>
      </w:r>
    </w:p>
    <w:p>
      <w:pPr>
        <w:jc w:val="start"/>
        <w:bidi/>
      </w:pPr>
      <w:r>
        <w:rPr>
          <w:rFonts w:ascii="arial" w:hAnsi="arial" w:eastAsia="arial" w:cs="arial"/>
          <w:sz w:val="28"/>
          <w:szCs w:val="28"/>
          <w:b w:val="1"/>
          <w:bCs w:val="1"/>
          <w:rtl/>
        </w:rPr>
        <w:t xml:space="preserve">جعفر بن الهذيل
</w:t>
      </w:r>
    </w:p>
    <w:p>
      <w:pPr/>
      <w:r>
        <w:rPr/>
        <w:t xml:space="preserve">جعفر بن الهذيل ذكره الشيخ في رجاله فيمن لم يرو عنهم عليهم السلام وقال روى عنه حميد وقال النجاشي جعفر بن الهذيل له نوادر أخبرنا ابن نوح حدثنا الحسين بن علي بن سفيان حدثنا حميد بن زياد بن هوار قال سمعت منه نوادره وسمعت منه كتاب عبد الله بن بكير وفي تهذيب التهذيب جعفر بن محمد بن الهذيل الكوفي أبو عبد الله القناد ابن بنت أبي أسامة روى عن عاصم بن يوسف اليربوعي وأبي نعيم محمد بن الصلت الأسدي وعمرو بن حماد بن طلحة القناد وعدة وعنه النسائي وأحمد بن سلام وإسحاق بن أحمد القطان وأبو بكر بن أبي داود وغيرهم قال النسائي ثقة وقال مطين مات في جمادي الأولى سنة 260 وقال كوفي صاحب حديث كيس ويحتمل إن يكون هو المترجم. وفي لسان الميزان: جعفر بن الهذيل بن هشام ذكره أبو جعفر الطوسي في رجال الشيعة ولفظة ابن هشام ليست في رجال الشيخ الطوسي.</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2026-06-30T05:08:02+03:00</dcterms:created>
  <dcterms:modified xsi:type="dcterms:W3CDTF">2026-06-30T05:08:02+03:00</dcterms:modified>
</cp:coreProperties>
</file>

<file path=docProps/custom.xml><?xml version="1.0" encoding="utf-8"?>
<Properties xmlns="http://schemas.openxmlformats.org/officeDocument/2006/custom-properties" xmlns:vt="http://schemas.openxmlformats.org/officeDocument/2006/docPropsVTypes"/>
</file>