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جعفر بن أبي البقاء هبة الله
</w:t>
      </w:r>
    </w:p>
    <w:p>
      <w:pPr>
        <w:jc w:val="start"/>
        <w:bidi/>
      </w:pPr>
      <w:r>
        <w:rPr>
          <w:rFonts w:ascii="arial" w:hAnsi="arial" w:eastAsia="arial" w:cs="arial"/>
          <w:sz w:val="28"/>
          <w:szCs w:val="28"/>
          <w:b w:val="1"/>
          <w:bCs w:val="1"/>
          <w:rtl/>
        </w:rPr>
        <w:t xml:space="preserve">الشيخ جعفر بن أبي البقاء هبة الله
</w:t>
      </w:r>
    </w:p>
    <w:p>
      <w:pPr/>
      <w:r>
        <w:rPr/>
        <w:t xml:space="preserve">الشيخ جعفر بن أبي البقاء هبة الله ابن نما بن علي بن حمدون الحلي الربعي</w:t>
      </w:r>
    </w:p>
    <w:p/>
    <w:p>
      <w:pPr/>
      <w:r>
        <w:rPr/>
        <w:t xml:space="preserve">هو والد الفقيه الجليل محمد بن جعفر بن أبي البقاء هبة الله شيخ المحقق وشيخ والد العلامة المعروف بابن نما والذي إليه ينصرف إطلاق ابن نما يروي عن جعفر المترجم ولده محمد المذكور ويروي جعفر المذكور عن الحسين بن رطبة السوراوي وتقدم جعفر بن محمد بن جعفر بن هبة الله بن نما.</w:t>
      </w:r>
    </w:p>
    <w:p>
      <w:pPr>
        <w:jc w:val="start"/>
        <w:bidi/>
      </w:pPr>
      <w:r>
        <w:rPr>
          <w:sz w:val="24"/>
          <w:szCs w:val="24"/>
          <w:b w:val="1"/>
          <w:bCs w:val="1"/>
          <w:rtl/>
        </w:rPr>
        <w:t xml:space="preserve">
أعيان الشيعة،(دار التعارف للمطبوعات - بيروت،1983،ط 1،ج 4،ص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2026-06-29T03:43:59+03:00</dcterms:created>
  <dcterms:modified xsi:type="dcterms:W3CDTF">2026-06-29T03:43:59+03:00</dcterms:modified>
</cp:coreProperties>
</file>

<file path=docProps/custom.xml><?xml version="1.0" encoding="utf-8"?>
<Properties xmlns="http://schemas.openxmlformats.org/officeDocument/2006/custom-properties" xmlns:vt="http://schemas.openxmlformats.org/officeDocument/2006/docPropsVTypes"/>
</file>