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جعفر بن محمد الإسكافي
</w:t>
      </w:r>
    </w:p>
    <w:p>
      <w:pPr>
        <w:jc w:val="start"/>
        <w:bidi/>
      </w:pPr>
      <w:r>
        <w:rPr>
          <w:rFonts w:ascii="arial" w:hAnsi="arial" w:eastAsia="arial" w:cs="arial"/>
          <w:sz w:val="28"/>
          <w:szCs w:val="28"/>
          <w:b w:val="1"/>
          <w:bCs w:val="1"/>
          <w:rtl/>
        </w:rPr>
        <w:t xml:space="preserve">أبو الفضل جعفر بن محمد الإسكافي
</w:t>
      </w:r>
    </w:p>
    <w:p>
      <w:pPr/>
      <w:r>
        <w:rPr/>
        <w:t xml:space="preserve">أبو الفضل جعفر بن محمد الإسكافي وزير المعتز بالله</w:t>
      </w:r>
    </w:p>
    <w:p/>
    <w:p>
      <w:pPr/>
      <w:r>
        <w:rPr/>
        <w:t xml:space="preserve">في الفخري: أول وزراء المعتز بالله أبو الفضل جعفر بن محمود الإسكافي لم يكن له علم ولا أدب ولكنه كان يستميل القلوب بالمواهب والعطايا، وكان المعتز يكرهه، وكانوا ينسبونه إلى التشيع ومال إليه الأتراك وكرهه البعض الآخر وثارت بسببه فتنة فعزله المعتز. وقتل المعتز سنة 255 وملك بعده المهتدي بالله فلما بويع بالخلافة أقر جعفر بن محمود الإسكافي على وزارته، ثم عزله واستوزر سليمان بن وهب.</w:t>
      </w:r>
    </w:p>
    <w:p>
      <w:pPr>
        <w:jc w:val="start"/>
        <w:bidi/>
      </w:pPr>
      <w:r>
        <w:rPr>
          <w:sz w:val="24"/>
          <w:szCs w:val="24"/>
          <w:b w:val="1"/>
          <w:bCs w:val="1"/>
          <w:rtl/>
        </w:rPr>
        <w:t xml:space="preserve">
أعيان الشيعة،(دار التعارف للمطبوعات - بيروت،1983،ط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الإسكافي وزير المعتز
</w:t>
      </w:r>
    </w:p>
    <w:p>
      <w:pPr/>
      <w:r>
        <w:rPr/>
        <w:t xml:space="preserve">الإسكافي وزير المعتز جعفر بن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المعتز
</w:t>
      </w:r>
    </w:p>
    <w:p>
      <w:pPr/>
      <w:r>
        <w:rPr/>
        <w:t xml:space="preserve">وزير المعتز جعفر بن محمود، أبو الفضل الإسكافي، ولي الوزارة للمعتز حين خرج المستعين إلى بغداد وبايع الأتراك المعتز بسر من رأى في المحرم سنة إحدى وخمسين ومئتين ولم يكن للوزير أدب وكان ثقيلا على قلب المعتز وكان يصبر عليه لميل الأتراك إليه، وكان وزيره أيام الفتنة وبعد أن صحت له الخلافة أشهرا وكان المغاربة يبغضونه لحب الأتراك إياه حتى وقعت بينهم حروب وشكوه إلى المعتز فقال: جعفر يضرب بينكم فعزله في شهر ربيع الآخر سنة اثنتين وخمسين ومئتين ونفاه إلى تكريت وكان جعفر من كبار الشيعة. ثم أنه ولي الوزارة للمهتدي حين ولي الخلافة وأخذ له البيعة على الناس فوزر له مديدة. ثم إن الهاشميين دخلوا على المهتدي وقالوا له إنه رافضي وأن أصحابه يكاتبون العلوية بخراسان بأخبار المملكة فنفاه إلى بغداد وحبسه وفي جعفر يقول بعض الكتاب: من الكامل</w:t>
      </w:r>
    </w:p>
    <w:p/>
    <w:p>
      <w:pPr>
        <w:jc w:val="center"/>
      </w:pPr>
      <w:r>
        <w:rPr>
          <w:color w:val="ff0000"/>
        </w:rPr>
        <w:t xml:space="preserve">لسنا نؤمل جعفرا لسداد</w:t>
      </w:r>
      <w:r>
        <w:rPr>
          <w:color w:val="ff0000"/>
        </w:rPr>
        <w:t xml:space="preserve">      </w:t>
      </w:r>
      <w:r>
        <w:rPr>
          <w:color w:val="ff0000"/>
        </w:rPr>
        <w:t xml:space="preserve">بل جعفر أصل لكل فساد</w:t>
      </w:r>
    </w:p>
    <w:p/>
    <w:p>
      <w:pPr>
        <w:jc w:val="center"/>
      </w:pPr>
      <w:r>
        <w:rPr>
          <w:color w:val="ff0000"/>
        </w:rPr>
        <w:t xml:space="preserve">مترفض بالنقص لا ببصيرة</w:t>
      </w:r>
      <w:r>
        <w:rPr>
          <w:color w:val="ff0000"/>
        </w:rPr>
        <w:t xml:space="preserve">      </w:t>
      </w:r>
      <w:r>
        <w:rPr>
          <w:color w:val="ff0000"/>
        </w:rPr>
        <w:t xml:space="preserve">لا يهتدي جهلا لأمر رشاد</w:t>
      </w:r>
    </w:p>
    <w:p/>
    <w:p>
      <w:pPr>
        <w:jc w:val="center"/>
      </w:pPr>
      <w:r>
        <w:rPr>
          <w:color w:val="ff0000"/>
        </w:rPr>
        <w:t xml:space="preserve">يزري على لبس السواد فوجهه</w:t>
      </w:r>
      <w:r>
        <w:rPr>
          <w:color w:val="ff0000"/>
        </w:rPr>
        <w:t xml:space="preserve">      </w:t>
      </w:r>
      <w:r>
        <w:rPr>
          <w:color w:val="ff0000"/>
        </w:rPr>
        <w:t xml:space="preserve">من أجل ذاك مربد بسواد</w:t>
      </w:r>
    </w:p>
    <w:p/>
    <w:p>
      <w:pPr>
        <w:jc w:val="center"/>
      </w:pPr>
      <w:r>
        <w:rPr>
          <w:color w:val="ff0000"/>
        </w:rPr>
        <w:t xml:space="preserve">قل للخليفة يا بن عم محمد</w:t>
      </w:r>
      <w:r>
        <w:rPr>
          <w:color w:val="ff0000"/>
        </w:rPr>
        <w:t xml:space="preserve">      </w:t>
      </w:r>
      <w:r>
        <w:rPr>
          <w:color w:val="ff0000"/>
        </w:rPr>
        <w:t xml:space="preserve">كن من خيانته على أرصاد</w:t>
      </w:r>
    </w:p>
    <w:p/>
    <w:p>
      <w:pPr>
        <w:jc w:val="center"/>
      </w:pPr>
      <w:r>
        <w:rPr>
          <w:color w:val="ff0000"/>
        </w:rPr>
        <w:t xml:space="preserve">لا تركنن إلى لعين مبغض</w:t>
      </w:r>
      <w:r>
        <w:rPr>
          <w:color w:val="ff0000"/>
        </w:rPr>
        <w:t xml:space="preserve">      </w:t>
      </w:r>
      <w:r>
        <w:rPr>
          <w:color w:val="ff0000"/>
        </w:rPr>
        <w:t xml:space="preserve">يختص غيركم بصفو وداد</w:t>
      </w:r>
    </w:p>
    <w:p/>
    <w:p>
      <w:pPr>
        <w:jc w:val="center"/>
      </w:pPr>
      <w:r>
        <w:rPr>
          <w:color w:val="ff0000"/>
        </w:rPr>
        <w:t xml:space="preserve">شرد به يابن الخلائف وانفه</w:t>
      </w:r>
      <w:r>
        <w:rPr>
          <w:color w:val="ff0000"/>
        </w:rPr>
        <w:t xml:space="preserve">      </w:t>
      </w:r>
      <w:r>
        <w:rPr>
          <w:color w:val="ff0000"/>
        </w:rPr>
        <w:t xml:space="preserve">لأشط قطر نازح وبلاد</w:t>
      </w:r>
    </w:p>
    <w:p/>
    <w:p>
      <w:pPr>
        <w:jc w:val="center"/>
      </w:pPr>
      <w:r>
        <w:rPr>
          <w:color w:val="ff0000"/>
        </w:rPr>
        <w:t xml:space="preserve">وتوق آراء له معكوسة</w:t>
      </w:r>
      <w:r>
        <w:rPr>
          <w:color w:val="ff0000"/>
        </w:rPr>
        <w:t xml:space="preserve">      </w:t>
      </w:r>
      <w:r>
        <w:rPr>
          <w:color w:val="ff0000"/>
        </w:rPr>
        <w:t xml:space="preserve">تمضي بأخبث نية وعناد</w:t>
      </w:r>
    </w:p>
    <w:p/>
    <w:p>
      <w:pPr/>
      <w:r>
        <w:rPr/>
        <w:t xml:space="preserve">وكان إذا أراد أن يولي أحدا ناحية قال في مجلسه: أريد من أوليه ناحية كذا ثم يتقدم إلى أصحاب الأخبار أن يكاتبوه بقول الناس ومن الذي يرجفون له بها فإن أرجفوا لواحد ولاه وإن أرجفوا لجماعة اختار منهم واحدا وكان يقول: من مروءة الكاتب كمال آلة دواته. وتوفي في المحرم سنة ثمان وستين ومئتين.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2026-06-30T06:11:11+03:00</dcterms:created>
  <dcterms:modified xsi:type="dcterms:W3CDTF">2026-06-30T06:11:11+03:00</dcterms:modified>
</cp:coreProperties>
</file>

<file path=docProps/custom.xml><?xml version="1.0" encoding="utf-8"?>
<Properties xmlns="http://schemas.openxmlformats.org/officeDocument/2006/custom-properties" xmlns:vt="http://schemas.openxmlformats.org/officeDocument/2006/docPropsVTypes"/>
</file>