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أمين الدين جعفر بن محيي الدين
</w:t>
      </w:r>
    </w:p>
    <w:p>
      <w:pPr>
        <w:jc w:val="start"/>
        <w:bidi/>
      </w:pPr>
      <w:r>
        <w:rPr>
          <w:rFonts w:ascii="arial" w:hAnsi="arial" w:eastAsia="arial" w:cs="arial"/>
          <w:sz w:val="28"/>
          <w:szCs w:val="28"/>
          <w:b w:val="1"/>
          <w:bCs w:val="1"/>
          <w:rtl/>
        </w:rPr>
        <w:t xml:space="preserve">النقيب أمين الدين جعفر بن محيي الدين
</w:t>
      </w:r>
    </w:p>
    <w:p>
      <w:pPr/>
      <w:r>
        <w:rPr/>
        <w:t xml:space="preserve">النقيب أمين الدين جعفر بن محيي الدين محمد بن عدنان الحسيني</w:t>
      </w:r>
    </w:p>
    <w:p/>
    <w:p>
      <w:pPr/>
      <w:r>
        <w:rPr/>
        <w:t xml:space="preserve">توفي سنة 724</w:t>
      </w:r>
    </w:p>
    <w:p/>
    <w:p>
      <w:pPr/>
      <w:r>
        <w:rPr/>
        <w:t xml:space="preserve">في شذرات الذهب في حوادث سنة 714 فيها توفي نقيب الأشراف أمين الدين جعفر بن شيخ الشيعة محيي الدين محمد بن عدنان الحسيني توفي في حياة أبيه فولي النقابة بعده ولده شرف الدين عدنان وخلع عليه بطرحة وهو شاب طري قاله في العبر.</w:t>
      </w:r>
    </w:p>
    <w:p>
      <w:pPr>
        <w:jc w:val="start"/>
        <w:bidi/>
      </w:pPr>
      <w:r>
        <w:rPr>
          <w:sz w:val="24"/>
          <w:szCs w:val="24"/>
          <w:b w:val="1"/>
          <w:bCs w:val="1"/>
          <w:rtl/>
        </w:rPr>
        <w:t xml:space="preserve">
أعيان الشيعة،(دار التعارف للمطبوعات - بيروت،1983،ط 1،ج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2026-06-30T06:12:34+03:00</dcterms:created>
  <dcterms:modified xsi:type="dcterms:W3CDTF">2026-06-30T06:12:34+03:00</dcterms:modified>
</cp:coreProperties>
</file>

<file path=docProps/custom.xml><?xml version="1.0" encoding="utf-8"?>
<Properties xmlns="http://schemas.openxmlformats.org/officeDocument/2006/custom-properties" xmlns:vt="http://schemas.openxmlformats.org/officeDocument/2006/docPropsVTypes"/>
</file>