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محمد علي
</w:t>
      </w:r>
    </w:p>
    <w:p>
      <w:pPr>
        <w:jc w:val="start"/>
        <w:bidi/>
      </w:pPr>
      <w:r>
        <w:rPr>
          <w:rFonts w:ascii="arial" w:hAnsi="arial" w:eastAsia="arial" w:cs="arial"/>
          <w:sz w:val="28"/>
          <w:szCs w:val="28"/>
          <w:b w:val="1"/>
          <w:bCs w:val="1"/>
          <w:rtl/>
        </w:rPr>
        <w:t xml:space="preserve">الشيخ جعفر بن محمد علي
</w:t>
      </w:r>
    </w:p>
    <w:p>
      <w:pPr/>
      <w:r>
        <w:rPr/>
        <w:t xml:space="preserve">الشيخ جعفر بن محمد علي النوري أصلا الطهراني موطنا</w:t>
      </w:r>
    </w:p>
    <w:p/>
    <w:p>
      <w:pPr/>
      <w:r>
        <w:rPr/>
        <w:t xml:space="preserve">في كتاب المآثر والآثار: كان من أجلة المجتهدين ومروجي الدين تتلمذ في الفقه على الفقيه الشيخ محمد حسن صاحب الجواهر حتى حاز درجة عليا وكان يؤم الجماعة في طهران في مسجد السيد عزيز الله وتوفي في طهران ودفن في الحجرة التي على يمين الداخل إلى صحن الصدوق.</w:t>
      </w:r>
    </w:p>
    <w:p>
      <w:pPr>
        <w:jc w:val="start"/>
        <w:bidi/>
      </w:pPr>
      <w:r>
        <w:rPr>
          <w:sz w:val="24"/>
          <w:szCs w:val="24"/>
          <w:b w:val="1"/>
          <w:bCs w:val="1"/>
          <w:rtl/>
        </w:rPr>
        <w:t xml:space="preserve">
أعيان الشيعة،(دار التعارف للمطبوعات - بيروت،1983،ط 1،ج 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2026-06-30T06:07:02+03:00</dcterms:created>
  <dcterms:modified xsi:type="dcterms:W3CDTF">2026-06-30T06:07:02+03:00</dcterms:modified>
</cp:coreProperties>
</file>

<file path=docProps/custom.xml><?xml version="1.0" encoding="utf-8"?>
<Properties xmlns="http://schemas.openxmlformats.org/officeDocument/2006/custom-properties" xmlns:vt="http://schemas.openxmlformats.org/officeDocument/2006/docPropsVTypes"/>
</file>