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عماد الدين أبو القاسم جعفر بن علي
</w:t>
      </w:r>
    </w:p>
    <w:p>
      <w:pPr>
        <w:jc w:val="start"/>
        <w:bidi/>
      </w:pPr>
      <w:r>
        <w:rPr>
          <w:rFonts w:ascii="arial" w:hAnsi="arial" w:eastAsia="arial" w:cs="arial"/>
          <w:sz w:val="28"/>
          <w:szCs w:val="28"/>
          <w:b w:val="1"/>
          <w:bCs w:val="1"/>
          <w:rtl/>
        </w:rPr>
        <w:t xml:space="preserve">السيد عماد الدين أبو القاسم جعفر بن علي
</w:t>
      </w:r>
    </w:p>
    <w:p>
      <w:pPr/>
      <w:r>
        <w:rPr/>
        <w:t xml:space="preserve">السيد عماد الدين أبو القاسم جعفر بن علي ابن عبد الله بن أحمد الجعفري الدبيسي نزيل دهستان</w:t>
      </w:r>
    </w:p>
    <w:p/>
    <w:p>
      <w:pPr/>
      <w:r>
        <w:rPr/>
        <w:t xml:space="preserve">في فهرست منتجب الدين بن بابويه فقيه فاضل وكان يتحنف ويفتي على مذهب أبي حنيفة تقية وفي جامع الرواة في نسخة غير مأمونة الغلط الزيبي بدل الدبيسي. وفي لسان الميزان جعفر بن علي بن عبد الله الجعفري نزيل دهستان ذكره ابن بابويه في الإمامية وقال كان يفتي على مذهب أبي حنيفة</w:t>
      </w:r>
    </w:p>
    <w:p>
      <w:pPr>
        <w:jc w:val="start"/>
        <w:bidi/>
      </w:pPr>
      <w:r>
        <w:rPr>
          <w:sz w:val="24"/>
          <w:szCs w:val="24"/>
          <w:b w:val="1"/>
          <w:bCs w:val="1"/>
          <w:rtl/>
        </w:rPr>
        <w:t xml:space="preserve">
أعيان الشيعة،(دار التعارف للمطبوعات - بيروت،1983،ط 1،ج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2026-07-01T11:18:32+03:00</dcterms:created>
  <dcterms:modified xsi:type="dcterms:W3CDTF">2026-07-01T11:18:32+03:00</dcterms:modified>
</cp:coreProperties>
</file>

<file path=docProps/custom.xml><?xml version="1.0" encoding="utf-8"?>
<Properties xmlns="http://schemas.openxmlformats.org/officeDocument/2006/custom-properties" xmlns:vt="http://schemas.openxmlformats.org/officeDocument/2006/docPropsVTypes"/>
</file>