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جعفر بن عبد الله الأصفهاني
</w:t>
      </w:r>
    </w:p>
    <w:p>
      <w:pPr>
        <w:jc w:val="start"/>
        <w:bidi/>
      </w:pPr>
      <w:r>
        <w:rPr>
          <w:rFonts w:ascii="arial" w:hAnsi="arial" w:eastAsia="arial" w:cs="arial"/>
          <w:sz w:val="28"/>
          <w:szCs w:val="28"/>
          <w:b w:val="1"/>
          <w:bCs w:val="1"/>
          <w:rtl/>
        </w:rPr>
        <w:t xml:space="preserve">أبو محمد جعفر بن عبد الله الأصفهاني
</w:t>
      </w:r>
    </w:p>
    <w:p>
      <w:pPr/>
      <w:r>
        <w:rPr/>
        <w:t xml:space="preserve">أبو محمد جعفر بن عبد الله الأصفهاني ابن أبي القاسم عقيل</w:t>
      </w:r>
    </w:p>
    <w:p/>
    <w:p>
      <w:pPr/>
      <w:r>
        <w:rPr/>
        <w:t xml:space="preserve">ابن عبد الله بن عقيل بن محمد بن عبد الله بن محمد بن عقيل ابن أبي طالب. توفي سنة 334. في عمدة الطالب العالم النسابة شيخ بن تكين النسابة مات سنة 334 وله عقب كانوا بحلب وبيروت ومصر ’’أه’’.</w:t>
      </w:r>
    </w:p>
    <w:p>
      <w:pPr>
        <w:jc w:val="start"/>
        <w:bidi/>
      </w:pPr>
      <w:r>
        <w:rPr>
          <w:sz w:val="24"/>
          <w:szCs w:val="24"/>
          <w:b w:val="1"/>
          <w:bCs w:val="1"/>
          <w:rtl/>
        </w:rPr>
        <w:t xml:space="preserve">
أعيان الشيعة،(دار التعارف للمطبوعات - بيروت،1983،ط 1،ج 4،ص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2026-07-01T12:20:26+03:00</dcterms:created>
  <dcterms:modified xsi:type="dcterms:W3CDTF">2026-07-01T12:20:26+03:00</dcterms:modified>
</cp:coreProperties>
</file>

<file path=docProps/custom.xml><?xml version="1.0" encoding="utf-8"?>
<Properties xmlns="http://schemas.openxmlformats.org/officeDocument/2006/custom-properties" xmlns:vt="http://schemas.openxmlformats.org/officeDocument/2006/docPropsVTypes"/>
</file>