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جعفر شرع الإسلامي الحويزي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شرع الإسلامي الحويزي النجفي
</w:t>
      </w:r>
    </w:p>
    <w:p>
      <w:pPr/>
      <w:r>
        <w:rPr/>
        <w:t xml:space="preserve">الشيخ جعفر شرع الإسلامي الحويزي النجفي أصله من الحويزة وأقام في النجف وحصل وتقدم، له مؤلفات عديدة في الفقه والأصول أعقب ولده الشيخ محمد شرع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2026-07-01T13:17:05+03:00</dcterms:created>
  <dcterms:modified xsi:type="dcterms:W3CDTF">2026-07-01T13:17:05+03:00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