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جعفر بن ميرزا أحمد بن لطف
</w:t>
      </w:r>
    </w:p>
    <w:p>
      <w:pPr>
        <w:jc w:val="start"/>
        <w:bidi/>
      </w:pPr>
      <w:r>
        <w:rPr>
          <w:rFonts w:ascii="arial" w:hAnsi="arial" w:eastAsia="arial" w:cs="arial"/>
          <w:sz w:val="28"/>
          <w:szCs w:val="28"/>
          <w:b w:val="1"/>
          <w:bCs w:val="1"/>
          <w:rtl/>
        </w:rPr>
        <w:t xml:space="preserve">ميرزا جعفر بن ميرزا أحمد بن لطف
</w:t>
      </w:r>
    </w:p>
    <w:p>
      <w:pPr/>
      <w:r>
        <w:rPr/>
        <w:t xml:space="preserve">ميرزا جعفر بن ميرزا أحمد بن لطف علي خان ابن ميرزا صادق التبريزي</w:t>
      </w:r>
    </w:p>
    <w:p/>
    <w:p>
      <w:pPr/>
      <w:r>
        <w:rPr/>
        <w:t xml:space="preserve">توفي بالوباء في حياة أبيه سنة 1262. عالم فاضل قرأ على والده وعلى صاحب الجواهر له رسالة في العصير العنبي وله شرح الشرائع يوجد منه مجلد في الأغسال وعليه إجازات وتتقاريض من صاحب الجواهر ومن الشيخ حسن ابن الشيخ جعفر صاحب أنوار الفقاهة ومن الشيخ جواد نجف.</w:t>
      </w:r>
    </w:p>
    <w:p>
      <w:pPr>
        <w:jc w:val="start"/>
        <w:bidi/>
      </w:pPr>
      <w:r>
        <w:rPr>
          <w:sz w:val="24"/>
          <w:szCs w:val="24"/>
          <w:b w:val="1"/>
          <w:bCs w:val="1"/>
          <w:rtl/>
        </w:rPr>
        <w:t xml:space="preserve">
أعيان الشيعة،(دار التعارف للمطبوعات - بيروت،1983،ط 1،ج 4،ص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2026-07-01T15:53:09+03:00</dcterms:created>
  <dcterms:modified xsi:type="dcterms:W3CDTF">2026-07-01T15:53:09+03:00</dcterms:modified>
</cp:coreProperties>
</file>

<file path=docProps/custom.xml><?xml version="1.0" encoding="utf-8"?>
<Properties xmlns="http://schemas.openxmlformats.org/officeDocument/2006/custom-properties" xmlns:vt="http://schemas.openxmlformats.org/officeDocument/2006/docPropsVTypes"/>
</file>