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المعروف بأبي علي خان
</w:t>
      </w:r>
    </w:p>
    <w:p>
      <w:pPr>
        <w:jc w:val="start"/>
        <w:bidi/>
      </w:pPr>
      <w:r>
        <w:rPr>
          <w:rFonts w:ascii="arial" w:hAnsi="arial" w:eastAsia="arial" w:cs="arial"/>
          <w:sz w:val="28"/>
          <w:szCs w:val="28"/>
          <w:b w:val="1"/>
          <w:bCs w:val="1"/>
          <w:rtl/>
        </w:rPr>
        <w:t xml:space="preserve">السيد جعفر المعروف بأبي علي خان
</w:t>
      </w:r>
    </w:p>
    <w:p>
      <w:pPr/>
      <w:r>
        <w:rPr/>
        <w:t xml:space="preserve">السيد جعفر المعروف بأبي علي خان الحسيني الموسوي النبارسي ثم الدهلوي</w:t>
      </w:r>
    </w:p>
    <w:p/>
    <w:p>
      <w:pPr/>
      <w:r>
        <w:rPr/>
        <w:t xml:space="preserve">من علماء الهند تلميذ ميرزا محمد الكامل صاحب النزهة الاثني عشرية المتوفي سنة 1235 له كتاب كسر الصنمين فارسي وفيه الرد على بعض أقوال صاحب التحفة الاثني عشرية وله شفاء المسلمين فارسي نقض فيه كتاب تبصرة افيمان في الكلام لسلامة علي النبارسي وبرهان الصادقين في الإمامة ومهجة البرهان ومعين الصادقين.</w:t>
      </w:r>
    </w:p>
    <w:p>
      <w:pPr>
        <w:jc w:val="start"/>
        <w:bidi/>
      </w:pPr>
      <w:r>
        <w:rPr>
          <w:sz w:val="24"/>
          <w:szCs w:val="24"/>
          <w:b w:val="1"/>
          <w:bCs w:val="1"/>
          <w:rtl/>
        </w:rPr>
        <w:t xml:space="preserve">
أعيان الشيعة،(دار التعارف للمطبوعات - بيروت،1983،ط 1،ج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2026-07-01T16:48:06+03:00</dcterms:created>
  <dcterms:modified xsi:type="dcterms:W3CDTF">2026-07-01T16:48:06+03:00</dcterms:modified>
</cp:coreProperties>
</file>

<file path=docProps/custom.xml><?xml version="1.0" encoding="utf-8"?>
<Properties xmlns="http://schemas.openxmlformats.org/officeDocument/2006/custom-properties" xmlns:vt="http://schemas.openxmlformats.org/officeDocument/2006/docPropsVTypes"/>
</file>