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جابر المدني بن محمد
</w:t>
      </w:r>
    </w:p>
    <w:p>
      <w:pPr>
        <w:jc w:val="start"/>
        <w:bidi/>
      </w:pPr>
      <w:r>
        <w:rPr>
          <w:rFonts w:ascii="arial" w:hAnsi="arial" w:eastAsia="arial" w:cs="arial"/>
          <w:sz w:val="28"/>
          <w:szCs w:val="28"/>
          <w:b w:val="1"/>
          <w:bCs w:val="1"/>
          <w:rtl/>
        </w:rPr>
        <w:t xml:space="preserve">السيد جابر المدني بن محمد
</w:t>
      </w:r>
    </w:p>
    <w:p>
      <w:pPr/>
      <w:r>
        <w:rPr/>
        <w:t xml:space="preserve">السيد جابر المدني بن محمد بن جوبير الحسيني الأعرجي العبيدلي </w:t>
      </w:r>
    </w:p>
    <w:p/>
    <w:p>
      <w:pPr/>
      <w:r>
        <w:rPr/>
        <w:t xml:space="preserve">ذكره السيد الضامن بن شدقم في تحفة الأزهار وأثنى عليه وقال تلمذ على جدي السيد حسن المؤلف النسابة ثم توجه إلى بلاد العجم فاشتغل هناك برهة من الزمان ثم عاد إلى وطنه عن طريق الحسا فأقام بها ثم عاد إلى أصفهان فأدركته المنية وقبره بأزاء قبر هارون ابن الإمام الكاظمي عليه السلام وخلف جابر محمدا وأحمد وحسنا والمرتضى وعليا ’’أه’’ ويحتمل اتحاده مع سابقه.</w:t>
      </w:r>
    </w:p>
    <w:p>
      <w:pPr>
        <w:jc w:val="start"/>
        <w:bidi/>
      </w:pPr>
      <w:r>
        <w:rPr>
          <w:sz w:val="24"/>
          <w:szCs w:val="24"/>
          <w:b w:val="1"/>
          <w:bCs w:val="1"/>
          <w:rtl/>
        </w:rPr>
        <w:t xml:space="preserve">
أعيان الشيعة،(دار التعارف للمطبوعات - بيروت،1983،ط 1،ج 4،ص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2026-07-01T19:55:45+03:00</dcterms:created>
  <dcterms:modified xsi:type="dcterms:W3CDTF">2026-07-01T19:55:45+03:00</dcterms:modified>
</cp:coreProperties>
</file>

<file path=docProps/custom.xml><?xml version="1.0" encoding="utf-8"?>
<Properties xmlns="http://schemas.openxmlformats.org/officeDocument/2006/custom-properties" xmlns:vt="http://schemas.openxmlformats.org/officeDocument/2006/docPropsVTypes"/>
</file>