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جمهور بن مرار
</w:t>
      </w:r>
    </w:p>
    <w:p>
      <w:pPr>
        <w:jc w:val="start"/>
        <w:bidi/>
      </w:pPr>
      <w:r>
        <w:rPr>
          <w:rFonts w:ascii="arial" w:hAnsi="arial" w:eastAsia="arial" w:cs="arial"/>
          <w:sz w:val="28"/>
          <w:szCs w:val="28"/>
          <w:b w:val="1"/>
          <w:bCs w:val="1"/>
          <w:rtl/>
        </w:rPr>
        <w:t xml:space="preserve">جمهور بن مرار
</w:t>
      </w:r>
    </w:p>
    <w:p>
      <w:pPr/>
      <w:r>
        <w:rPr/>
        <w:t xml:space="preserve">جمهور بن مرار  جمهور بن مرار العجلي: قائد شجاع. كان من قادة الجيوش في أيام المنصور العباسي. وآخر ما وجهه به المنصور جيش فيه عشرة آآلاف فارس، سيرهم لقتال (سنباد) الفارسي، فتغلب عليه جمهور، وفل جموعة في وقعة كانت بين همذان والري، واستولى على أمواله. ثم أقام في الري ولم يوجه ما غنمه إلى المنصور، فطلبه المنصور، فامتنع وخلع الطاعة وجمع جيشا من فرسان العجم. فسير إليهم المنصور محمد بن الأشعث. فقاتله جمهور قتالا شديدا بين الري وأصبهان. فظفر ابن الأشعث، واعتصم جمهور بأذربيجان، فقتله من بقي معه تخلصا من فتنته، وحملوا رأسه إلى المنصور</w:t>
      </w:r>
    </w:p>
    <w:p>
      <w:pPr>
        <w:jc w:val="start"/>
        <w:bidi/>
      </w:pPr>
      <w:r>
        <w:rPr>
          <w:sz w:val="24"/>
          <w:szCs w:val="24"/>
          <w:b w:val="1"/>
          <w:bCs w:val="1"/>
          <w:rtl/>
        </w:rPr>
        <w:t xml:space="preserve">
الأعلام،(دار العلم للملايين - بيروت،2002،ط 15،ج 2،ص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2026-07-06T21:09:15+03:00</dcterms:created>
  <dcterms:modified xsi:type="dcterms:W3CDTF">2026-07-06T21:09:15+03:00</dcterms:modified>
</cp:coreProperties>
</file>

<file path=docProps/custom.xml><?xml version="1.0" encoding="utf-8"?>
<Properties xmlns="http://schemas.openxmlformats.org/officeDocument/2006/custom-properties" xmlns:vt="http://schemas.openxmlformats.org/officeDocument/2006/docPropsVTypes"/>
</file>