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عمرو يكنى أبا حبيش أو أبا جيش
</w:t>
      </w:r>
    </w:p>
    <w:p>
      <w:pPr>
        <w:jc w:val="start"/>
        <w:bidi/>
      </w:pPr>
      <w:r>
        <w:rPr>
          <w:rFonts w:ascii="arial" w:hAnsi="arial" w:eastAsia="arial" w:cs="arial"/>
          <w:sz w:val="28"/>
          <w:szCs w:val="28"/>
          <w:b w:val="1"/>
          <w:bCs w:val="1"/>
          <w:rtl/>
        </w:rPr>
        <w:t xml:space="preserve">تميم بن عمرو يكنى أبا حبيش أو أبا جيش
</w:t>
      </w:r>
    </w:p>
    <w:p>
      <w:pPr/>
      <w:r>
        <w:rPr/>
        <w:t xml:space="preserve">تميم بن عمرو يكنى أبا حبيش أو أبا جيش ذكره الشيخ في رجاله في أصحاب علي عليه السلام وقال كان عامل أمير المؤمنين عليه السلام على مدينة رسول الله صلى الله عليه وسلم حتى قدم سهل بن حنيف (انتهى) وفي لسان الميزان تميم بن عمرو أبو حنش ذكره الطوسي في رجال الشيعة وقال أخذ عن أمير المؤمنين علي عليه السلام وولي له ولاية (انتهى) ولا ريب إن أبا جيش وأبا حنش وأبا حبيش قد صحف أحدها بالآخر.</w:t>
      </w:r>
    </w:p>
    <w:p>
      <w:pPr>
        <w:jc w:val="start"/>
        <w:bidi/>
      </w:pPr>
      <w:r>
        <w:rPr>
          <w:sz w:val="24"/>
          <w:szCs w:val="24"/>
          <w:b w:val="1"/>
          <w:bCs w:val="1"/>
          <w:rtl/>
        </w:rPr>
        <w:t xml:space="preserve">
أعيان الشيعة،(دار التعارف للمطبوعات - بيروت،1983،ط 1،ج 3،ص 640)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2026-07-13T15:40:35+03:00</dcterms:created>
  <dcterms:modified xsi:type="dcterms:W3CDTF">2026-07-13T15:40:35+03:00</dcterms:modified>
</cp:coreProperties>
</file>

<file path=docProps/custom.xml><?xml version="1.0" encoding="utf-8"?>
<Properties xmlns="http://schemas.openxmlformats.org/officeDocument/2006/custom-properties" xmlns:vt="http://schemas.openxmlformats.org/officeDocument/2006/docPropsVTypes"/>
</file>