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بهلول بهجة أفندي الزنكزوري
</w:t>
      </w:r>
    </w:p>
    <w:p>
      <w:pPr>
        <w:jc w:val="start"/>
        <w:bidi/>
      </w:pPr>
      <w:r>
        <w:rPr>
          <w:rFonts w:ascii="arial" w:hAnsi="arial" w:eastAsia="arial" w:cs="arial"/>
          <w:sz w:val="28"/>
          <w:szCs w:val="28"/>
          <w:b w:val="1"/>
          <w:bCs w:val="1"/>
          <w:rtl/>
        </w:rPr>
        <w:t xml:space="preserve">بهلول بهجة أفندي الزنكزوري
</w:t>
      </w:r>
    </w:p>
    <w:p>
      <w:pPr/>
      <w:r>
        <w:rPr/>
        <w:t xml:space="preserve">بهلول بهجة أفندي الزنكزوري كان قاضي زنكزور وكان حنفيا فتشيع وألف تاريخ آل محمد أو تشريح ومحاكمة في تواريخ آل محمد بطريق فلسفي ألفه بالتركية وطبع بعيد تأليفه في تبريز سنة 1242 وترجم إلى الفارسية والعربية ذكره صاحب الذريعة.</w:t>
      </w:r>
    </w:p>
    <w:p>
      <w:pPr>
        <w:jc w:val="start"/>
        <w:bidi/>
      </w:pPr>
      <w:r>
        <w:rPr>
          <w:sz w:val="24"/>
          <w:szCs w:val="24"/>
          <w:b w:val="1"/>
          <w:bCs w:val="1"/>
          <w:rtl/>
        </w:rPr>
        <w:t xml:space="preserve">
أعيان الشيعة،(دار التعارف للمطبوعات - بيروت،1983،ط 1،ج 3،ص 617)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2026-07-13T11:52:16+03:00</dcterms:created>
  <dcterms:modified xsi:type="dcterms:W3CDTF">2026-07-13T11:52:16+03:00</dcterms:modified>
</cp:coreProperties>
</file>

<file path=docProps/custom.xml><?xml version="1.0" encoding="utf-8"?>
<Properties xmlns="http://schemas.openxmlformats.org/officeDocument/2006/custom-properties" xmlns:vt="http://schemas.openxmlformats.org/officeDocument/2006/docPropsVTypes"/>
</file>