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بنو الهيثم العجلي
</w:t>
      </w:r>
    </w:p>
    <w:p>
      <w:pPr>
        <w:jc w:val="start"/>
        <w:bidi/>
      </w:pPr>
      <w:r>
        <w:rPr>
          <w:rFonts w:ascii="arial" w:hAnsi="arial" w:eastAsia="arial" w:cs="arial"/>
          <w:sz w:val="28"/>
          <w:szCs w:val="28"/>
          <w:b w:val="1"/>
          <w:bCs w:val="1"/>
          <w:rtl/>
        </w:rPr>
        <w:t xml:space="preserve">بنو الهيثم العجلي
</w:t>
      </w:r>
    </w:p>
    <w:p>
      <w:pPr/>
      <w:r>
        <w:rPr/>
        <w:t xml:space="preserve">بنو الهيثم العجلي في رجال بحر العلوم بنو الهيثم العجلي محمد بن الهيثم، وأحمد بن محمد والحسن بن أحمد ثقات، قال النجاشي الحسن بن أحمد بن محمد بن الهيثم أبو محمد ثقة من وجوه أصحابنا وأبوه وجده ثقتان وهم من أهل الري جاور في آخر عمره بالكوفة ورأيته بها وله كتب (انتهى).</w:t>
      </w:r>
    </w:p>
    <w:p>
      <w:pPr>
        <w:jc w:val="start"/>
        <w:bidi/>
      </w:pPr>
      <w:r>
        <w:rPr>
          <w:sz w:val="24"/>
          <w:szCs w:val="24"/>
          <w:b w:val="1"/>
          <w:bCs w:val="1"/>
          <w:rtl/>
        </w:rPr>
        <w:t xml:space="preserve">
أعيان الشيعة،(دار التعارف للمطبوعات - بيروت،1983،ط 1،ج 3،ص 614)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2026-07-13T11:42:10+03:00</dcterms:created>
  <dcterms:modified xsi:type="dcterms:W3CDTF">2026-07-13T11:42:10+03:00</dcterms:modified>
</cp:coreProperties>
</file>

<file path=docProps/custom.xml><?xml version="1.0" encoding="utf-8"?>
<Properties xmlns="http://schemas.openxmlformats.org/officeDocument/2006/custom-properties" xmlns:vt="http://schemas.openxmlformats.org/officeDocument/2006/docPropsVTypes"/>
</file>