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الحر الجعفي
</w:t>
      </w:r>
    </w:p>
    <w:p>
      <w:pPr>
        <w:jc w:val="start"/>
        <w:bidi/>
      </w:pPr>
      <w:r>
        <w:rPr>
          <w:rFonts w:ascii="arial" w:hAnsi="arial" w:eastAsia="arial" w:cs="arial"/>
          <w:sz w:val="28"/>
          <w:szCs w:val="28"/>
          <w:b w:val="1"/>
          <w:bCs w:val="1"/>
          <w:rtl/>
        </w:rPr>
        <w:t xml:space="preserve">بنو الحر الجعفي
</w:t>
      </w:r>
    </w:p>
    <w:p>
      <w:pPr/>
      <w:r>
        <w:rPr/>
        <w:t xml:space="preserve">بنو الحر الجعفي قال السيد مهدي بحر العلوم الطباطبائي في رجاله بنو الحر الجعفي موالي جعفي وهم أديب وأيوب وزكريا من أصحاب الصادق عليه السلام وذكرهم النجاشي وأثبت لأديم وأيوب أصلا ووثقهما ولزكريا كتابا وقال هو أخو أديم وأيوب. وأيوب يعرف بأخي أديم ووثقه الشيخ في الفهرست وجعل أصله كتابا أما عبيد الله بن الحر الجعفي فهو عربي صميم وليس من أخوة أديم موالي جعفي (انتهى).</w:t>
      </w:r>
    </w:p>
    <w:p>
      <w:pPr>
        <w:jc w:val="start"/>
        <w:bidi/>
      </w:pPr>
      <w:r>
        <w:rPr>
          <w:sz w:val="24"/>
          <w:szCs w:val="24"/>
          <w:b w:val="1"/>
          <w:bCs w:val="1"/>
          <w:rtl/>
        </w:rPr>
        <w:t xml:space="preserve">
أعيان الشيعة،(دار التعارف للمطبوعات - بيروت،1983،ط 1،ج 3،ص 609)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2026-07-13T09:39:39+03:00</dcterms:created>
  <dcterms:modified xsi:type="dcterms:W3CDTF">2026-07-13T09:39:39+03:00</dcterms:modified>
</cp:coreProperties>
</file>

<file path=docProps/custom.xml><?xml version="1.0" encoding="utf-8"?>
<Properties xmlns="http://schemas.openxmlformats.org/officeDocument/2006/custom-properties" xmlns:vt="http://schemas.openxmlformats.org/officeDocument/2006/docPropsVTypes"/>
</file>