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أحد بني الحارث بن كعب أبو عصام
</w:t>
      </w:r>
    </w:p>
    <w:p>
      <w:pPr>
        <w:jc w:val="start"/>
        <w:bidi/>
      </w:pPr>
      <w:r>
        <w:rPr>
          <w:rFonts w:ascii="arial" w:hAnsi="arial" w:eastAsia="arial" w:cs="arial"/>
          <w:sz w:val="28"/>
          <w:szCs w:val="28"/>
          <w:b w:val="1"/>
          <w:bCs w:val="1"/>
          <w:rtl/>
        </w:rPr>
        <w:t xml:space="preserve">بشير أحد بني الحارث بن كعب أبو عصام
</w:t>
      </w:r>
    </w:p>
    <w:p>
      <w:pPr/>
      <w:r>
        <w:rPr/>
        <w:t xml:space="preserve">بشير أحد بني الحارث بن كعب أبو عصام ذكره الشيخ في رجاله في أصحاب الرسول ص. وفي الاستيعاب بشير الحارثي أحد بني الحارث بن كعب بن عمرو بن علة بن جلد بن مالك بن أدد بن زيد بن يشجب بن عريب بن زيد بن كهلان بن سبا قدم بشير الحارثي هذا على رسول الله صلى الله عليه وسلم فقال له مرحبا بك ما اسمك قال أكبر قال بل أنت بشير روى عنه ابنه عصام بن بشير (انتهى). وفي أسد الغابة علة بضم العين وتخفيف اللام وجلد بالجيم واللام الساكنة وعريب بالعين المهملة (انتهى) ولم يعلم أنه من شرط كتابنا.</w:t>
      </w:r>
    </w:p>
    <w:p>
      <w:pPr>
        <w:jc w:val="start"/>
        <w:bidi/>
      </w:pPr>
      <w:r>
        <w:rPr>
          <w:sz w:val="24"/>
          <w:szCs w:val="24"/>
          <w:b w:val="1"/>
          <w:bCs w:val="1"/>
          <w:rtl/>
        </w:rPr>
        <w:t xml:space="preserve">
أعيان الشيعة،(دار التعارف للمطبوعات - بيروت،1983،ط 1،ج 3،ص 582)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2026-07-13T06:55:27+03:00</dcterms:created>
  <dcterms:modified xsi:type="dcterms:W3CDTF">2026-07-13T06:55:27+03:00</dcterms:modified>
</cp:coreProperties>
</file>

<file path=docProps/custom.xml><?xml version="1.0" encoding="utf-8"?>
<Properties xmlns="http://schemas.openxmlformats.org/officeDocument/2006/custom-properties" xmlns:vt="http://schemas.openxmlformats.org/officeDocument/2006/docPropsVTypes"/>
</file>