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بركة بن منصور المشعشعي
</w:t>
      </w:r>
    </w:p>
    <w:p>
      <w:pPr>
        <w:jc w:val="start"/>
        <w:bidi/>
      </w:pPr>
      <w:r>
        <w:rPr>
          <w:rFonts w:ascii="arial" w:hAnsi="arial" w:eastAsia="arial" w:cs="arial"/>
          <w:sz w:val="28"/>
          <w:szCs w:val="28"/>
          <w:b w:val="1"/>
          <w:bCs w:val="1"/>
          <w:rtl/>
        </w:rPr>
        <w:t xml:space="preserve">السيد بركة بن منصور المشعشعي
</w:t>
      </w:r>
    </w:p>
    <w:p>
      <w:pPr/>
      <w:r>
        <w:rPr/>
        <w:t xml:space="preserve">السيد بركة بن منصور المشعشعي ملك ست سنوات وكانت على الناس في غاية الصعوبة قويت فيها الأشرار وخرجت الأعراب عن الطاعة وهدم جميع ما بناه السيد مطلب ومضت الست السنوات بين لعب كعاب وقلبه بالشط ملعب صولجان لكنه كان ماهرا في ركوب الخيل والطراد و يحول من سرج إلى سرج ويعمل أمورا عجيبة، وبعد مدة أتى سياوش خان إلى رامهرمز وطلب السيد بركة وربما اظهر له أنه يزوجه ابنته فحين وصله الكتاب كانت يده في الكتاب ورجله في الركاب وكلما نهاه نصحاؤه لم يقبل خصوصا خاله عبد المحسن فحين وصوله عزله وقبض عليه وأعطيت الحويزة للسيد علي خان بن السيد خلف وذلك سنة 1060.</w:t>
      </w:r>
    </w:p>
    <w:p>
      <w:pPr>
        <w:jc w:val="start"/>
        <w:bidi/>
      </w:pPr>
      <w:r>
        <w:rPr>
          <w:sz w:val="24"/>
          <w:szCs w:val="24"/>
          <w:b w:val="1"/>
          <w:bCs w:val="1"/>
          <w:rtl/>
        </w:rPr>
        <w:t xml:space="preserve">
أعيان الشيعة،(دار التعارف للمطبوعات - بيروت،1983،ط 1،ج 3،ص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2026-07-13T01:58:02+03:00</dcterms:created>
  <dcterms:modified xsi:type="dcterms:W3CDTF">2026-07-13T01:58:02+03:00</dcterms:modified>
</cp:coreProperties>
</file>

<file path=docProps/custom.xml><?xml version="1.0" encoding="utf-8"?>
<Properties xmlns="http://schemas.openxmlformats.org/officeDocument/2006/custom-properties" xmlns:vt="http://schemas.openxmlformats.org/officeDocument/2006/docPropsVTypes"/>
</file>