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إسماعيل بن الحر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الحر
</w:t>
      </w:r>
    </w:p>
    <w:p>
      <w:pPr/>
      <w:r>
        <w:rPr/>
        <w:t xml:space="preserve">إسماعيل بن الحر روى الصدوق في الفقيه في باب الصوم للرؤية والفطر للرؤية عن حماد بن عيسى عن إسماعيل بن الحر عن أبي عبد الله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318)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2026-07-12T03:26:10+03:00</dcterms:created>
  <dcterms:modified xsi:type="dcterms:W3CDTF">2026-07-12T03:26:10+03:00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