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عفر أو عفير أو أعفر
</w:t>
      </w:r>
    </w:p>
    <w:p>
      <w:pPr>
        <w:jc w:val="start"/>
        <w:bidi/>
      </w:pPr>
      <w:r>
        <w:rPr>
          <w:rFonts w:ascii="arial" w:hAnsi="arial" w:eastAsia="arial" w:cs="arial"/>
          <w:sz w:val="28"/>
          <w:szCs w:val="28"/>
          <w:b w:val="1"/>
          <w:bCs w:val="1"/>
          <w:rtl/>
        </w:rPr>
        <w:t xml:space="preserve">أسد بن عفر أو عفير أو أعفر
</w:t>
      </w:r>
    </w:p>
    <w:p>
      <w:pPr/>
      <w:r>
        <w:rPr/>
        <w:t xml:space="preserve">أسد بن عفر أو عفير أو أعفر في الخلاصة أسد بن عفر بضم العين المهملة من شيوخ أصحاب الحديث الثقات وقال في ابنه داود بن أسد بن عفير بضم العين وفي الإيضاح داود بن أسد بن عفير بضم العين المهملة وفتح الفاء وسكون المثناة التحتية وفي رجال ابن داود كالخلاصة أي ذكره هنا ابن عفر بضم العين وفي ابنه قال عفير. وقال النجاشي عند ذكر ابنه داود بن أسد بن أعفر وأبوه أسد بن أعفر من شيوخ أصحاب الحديث الثقات (انتهى) فأنت ترى إن النجاشي قال أعفر في الموضعين والعلامة وابن داود قالا في مقام عفر وفي مقام عفير ولم يلتفتا إلى هذا التنافي.</w:t>
      </w:r>
    </w:p>
    <w:p>
      <w:pPr>
        <w:jc w:val="start"/>
        <w:bidi/>
      </w:pPr>
      <w:r>
        <w:rPr>
          <w:sz w:val="24"/>
          <w:szCs w:val="24"/>
          <w:b w:val="1"/>
          <w:bCs w:val="1"/>
          <w:rtl/>
        </w:rPr>
        <w:t xml:space="preserve">
أعيان الشيعة،(دار التعارف للمطبوعات - بيروت،1983،ط 1،ج 3،ص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2026-07-11T22:40:17+03:00</dcterms:created>
  <dcterms:modified xsi:type="dcterms:W3CDTF">2026-07-11T22:40:17+03:00</dcterms:modified>
</cp:coreProperties>
</file>

<file path=docProps/custom.xml><?xml version="1.0" encoding="utf-8"?>
<Properties xmlns="http://schemas.openxmlformats.org/officeDocument/2006/custom-properties" xmlns:vt="http://schemas.openxmlformats.org/officeDocument/2006/docPropsVTypes"/>
</file>