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بن عطاء الكوفي
</w:t>
      </w:r>
    </w:p>
    <w:p>
      <w:pPr>
        <w:jc w:val="start"/>
        <w:bidi/>
      </w:pPr>
      <w:r>
        <w:rPr>
          <w:rFonts w:ascii="arial" w:hAnsi="arial" w:eastAsia="arial" w:cs="arial"/>
          <w:sz w:val="28"/>
          <w:szCs w:val="28"/>
          <w:b w:val="1"/>
          <w:bCs w:val="1"/>
          <w:rtl/>
        </w:rPr>
        <w:t xml:space="preserve">أسد بن عطاء الكوفي
</w:t>
      </w:r>
    </w:p>
    <w:p>
      <w:pPr/>
      <w:r>
        <w:rPr/>
        <w:t xml:space="preserve">أسد بن عطاء الكوفي ذكره الشيخ في رجاله في أصحاب الصادق عليه السلام. وفي ميزان الاعتدال أسد بن عطاء عن عكرمة قال الأزدي مجهول وقال العقيلي لا يتابع على حديثه على إن دونه مندل بن علي فلعله أتي منه. قلت هو عن ابن عباس مرفوعا لا يقفن أحدكم موقفا يضرب فيه رجل سوطا ظلما فان اللعنة تنزل على من حضره حيث لم يدفعوا عنه الحديث (انتهى) وفي لسان الميزان قال الأزدي متروك الحديث وسالت ابن أبي داود عنه فقال لا اعرفه وذكر الطوسي في رجال الشيعة أسد بن عطاء الكوفي فكأنه هذا وقال كان من الرواة عن جعفر الصادق (انتهى).</w:t>
      </w:r>
    </w:p>
    <w:p>
      <w:pPr>
        <w:jc w:val="start"/>
        <w:bidi/>
      </w:pPr>
      <w:r>
        <w:rPr>
          <w:sz w:val="24"/>
          <w:szCs w:val="24"/>
          <w:b w:val="1"/>
          <w:bCs w:val="1"/>
          <w:rtl/>
        </w:rPr>
        <w:t xml:space="preserve">
أعيان الشيعة،(دار التعارف للمطبوعات - بيروت،1983،ط 1،ج 3،ص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2026-07-11T22:38:05+03:00</dcterms:created>
  <dcterms:modified xsi:type="dcterms:W3CDTF">2026-07-11T22:38:05+03:00</dcterms:modified>
</cp:coreProperties>
</file>

<file path=docProps/custom.xml><?xml version="1.0" encoding="utf-8"?>
<Properties xmlns="http://schemas.openxmlformats.org/officeDocument/2006/custom-properties" xmlns:vt="http://schemas.openxmlformats.org/officeDocument/2006/docPropsVTypes"/>
</file>