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الكاتب النيبختي البغدادي
</w:t>
      </w:r>
    </w:p>
    <w:p>
      <w:pPr>
        <w:jc w:val="start"/>
        <w:bidi/>
      </w:pPr>
      <w:r>
        <w:rPr>
          <w:rFonts w:ascii="arial" w:hAnsi="arial" w:eastAsia="arial" w:cs="arial"/>
          <w:sz w:val="28"/>
          <w:szCs w:val="28"/>
          <w:b w:val="1"/>
          <w:bCs w:val="1"/>
          <w:rtl/>
        </w:rPr>
        <w:t xml:space="preserve">إسحاق الكاتب النيبختي البغدادي
</w:t>
      </w:r>
    </w:p>
    <w:p>
      <w:pPr/>
      <w:r>
        <w:rPr/>
        <w:t xml:space="preserve">إسحاق الكاتب النيبختي البغدادي روى الصدوق في كمال الدين بسنده عن محمد بن أبي عبد الله الكوفي أنه ذكر عدد ممن (انتهى) إليه ممن وقف على معجزات صاحب الزمان إلى إن قال ومن غير الوكلاء من أهل بغداد وعد جماعة ثم قال وإسحاق الكاتب من بني نيبخت (انتهى) وذلك في الغيبة الصغرى ولا يبعد إن يكون هذا هو إسحاق بن إسماعيل بن علي بن إسحاق بن أبي سهل بن نوبخت الكاتب المتقدم المقتول سنة 322 لأن الغيبة الصغرى استمرت إلى سنة 329 أي بعد قتله بسبع سنين ويؤيد ذلك وصفه بالكاتب ويحتمل غيره.</w:t>
      </w:r>
    </w:p>
    <w:p>
      <w:pPr>
        <w:jc w:val="start"/>
        <w:bidi/>
      </w:pPr>
      <w:r>
        <w:rPr>
          <w:sz w:val="24"/>
          <w:szCs w:val="24"/>
          <w:b w:val="1"/>
          <w:bCs w:val="1"/>
          <w:rtl/>
        </w:rPr>
        <w:t xml:space="preserve">
أعيان الشيعة،(دار التعارف للمطبوعات - بيروت،1983،ط 1،ج 3،ص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2026-07-11T21:34:52+03:00</dcterms:created>
  <dcterms:modified xsi:type="dcterms:W3CDTF">2026-07-11T21:34:52+03:00</dcterms:modified>
</cp:coreProperties>
</file>

<file path=docProps/custom.xml><?xml version="1.0" encoding="utf-8"?>
<Properties xmlns="http://schemas.openxmlformats.org/officeDocument/2006/custom-properties" xmlns:vt="http://schemas.openxmlformats.org/officeDocument/2006/docPropsVTypes"/>
</file>