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الأراجني
</w:t>
      </w:r>
    </w:p>
    <w:p>
      <w:pPr>
        <w:jc w:val="start"/>
        <w:bidi/>
      </w:pPr>
      <w:r>
        <w:rPr>
          <w:rFonts w:ascii="arial" w:hAnsi="arial" w:eastAsia="arial" w:cs="arial"/>
          <w:sz w:val="28"/>
          <w:szCs w:val="28"/>
          <w:b w:val="1"/>
          <w:bCs w:val="1"/>
          <w:rtl/>
        </w:rPr>
        <w:t xml:space="preserve">الأراجني
</w:t>
      </w:r>
    </w:p>
    <w:p>
      <w:pPr/>
      <w:r>
        <w:rPr/>
        <w:t xml:space="preserve">الأراجني لقب هارون بن عبد العزيز. </w:t>
      </w:r>
    </w:p>
    <w:p>
      <w:pPr>
        <w:jc w:val="start"/>
        <w:bidi/>
      </w:pPr>
      <w:r>
        <w:rPr>
          <w:sz w:val="24"/>
          <w:szCs w:val="24"/>
          <w:b w:val="1"/>
          <w:bCs w:val="1"/>
          <w:rtl/>
        </w:rPr>
        <w:t xml:space="preserve">
أعيان الشيعة،(دار التعارف للمطبوعات - بيروت،1983،ط 1،ج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الأوارجي
</w:t>
      </w:r>
    </w:p>
    <w:p>
      <w:pPr/>
      <w:r>
        <w:rPr/>
        <w:t xml:space="preserve">أبو علي الأوارجي هارون بن عبد العزيز الأوارجي أبو علي، ولي الأعمال الجليلة من الخراج، وكتب الحديث، وصحب الحلاج وخالط الصوفية، ولما وقف على أمر الحلاج أظهر أمره وأطلع الوزير عليه، وتوفي سنة أربع وأربعين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2026-07-12T18:37:10+03:00</dcterms:created>
  <dcterms:modified xsi:type="dcterms:W3CDTF">2026-07-12T18:37:10+03:00</dcterms:modified>
</cp:coreProperties>
</file>

<file path=docProps/custom.xml><?xml version="1.0" encoding="utf-8"?>
<Properties xmlns="http://schemas.openxmlformats.org/officeDocument/2006/custom-properties" xmlns:vt="http://schemas.openxmlformats.org/officeDocument/2006/docPropsVTypes"/>
</file>