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بن فرحات مطر الماروني
</w:t>
      </w:r>
    </w:p>
    <w:p>
      <w:pPr>
        <w:jc w:val="start"/>
        <w:bidi/>
      </w:pPr>
      <w:r>
        <w:rPr>
          <w:rFonts w:ascii="arial" w:hAnsi="arial" w:eastAsia="arial" w:cs="arial"/>
          <w:sz w:val="28"/>
          <w:szCs w:val="28"/>
          <w:b w:val="1"/>
          <w:bCs w:val="1"/>
          <w:rtl/>
        </w:rPr>
        <w:t xml:space="preserve">المطران فرحات
</w:t>
      </w:r>
    </w:p>
    <w:p>
      <w:pPr/>
      <w:r>
        <w:rPr/>
        <w:t xml:space="preserve">المطران فرحات  جبرائيل بن فرحات مطر الماروني: أديب سوري، من الرهبان. أصله من حصرون (بلبنان) ومولده ووفاته بحلب. أتقن اللغات العربية والسريانية والاتينية والإيطالية، ودرس علوم اللاهوت، وترهب سنة 1693م ودعي باسم (جرمانوس) وأقام في دير بقرب (إهدن) بلبنان. ورحل إلى أوربة. وانتخب أسقفا على حلب سنة 1725م. من كتبه (بحث المطالب - ط) في النحو والتصريف، و (الأجوبة الجلية في الأصوال النحوية - ط) و (إحكام باب الإعراب - ط) في اللغة، سماه (باب الإعراب) و (المثلثات الدرية - ط) على نمط مثلثات قطرب، و (ديوان شعر - ط) و (بلوغ الأرب - خ) أدب</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2026-07-06T15:49:25+03:00</dcterms:created>
  <dcterms:modified xsi:type="dcterms:W3CDTF">2026-07-06T15:49:25+03:00</dcterms:modified>
</cp:coreProperties>
</file>

<file path=docProps/custom.xml><?xml version="1.0" encoding="utf-8"?>
<Properties xmlns="http://schemas.openxmlformats.org/officeDocument/2006/custom-properties" xmlns:vt="http://schemas.openxmlformats.org/officeDocument/2006/docPropsVTypes"/>
</file>