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يوسف بن يعقوب الجعفي
</w:t>
      </w:r>
    </w:p>
    <w:p>
      <w:pPr>
        <w:jc w:val="start"/>
        <w:bidi/>
      </w:pPr>
      <w:r>
        <w:rPr>
          <w:rFonts w:ascii="arial" w:hAnsi="arial" w:eastAsia="arial" w:cs="arial"/>
          <w:sz w:val="28"/>
          <w:szCs w:val="28"/>
          <w:b w:val="1"/>
          <w:bCs w:val="1"/>
          <w:rtl/>
        </w:rPr>
        <w:t xml:space="preserve">أحمد بن يوسف بن يعقوب الجعفي
</w:t>
      </w:r>
    </w:p>
    <w:p>
      <w:pPr/>
      <w:r>
        <w:rPr/>
        <w:t xml:space="preserve">أحمد بن يوسف بن يعقوب الجعفي قال البهبهاني في تعليقته على منهج المقال: روى عن محمد بن إسماعيل الزعفراني وقال النجاشي في ترجمة جميل بن دراج في طريقه إليه عن أحمد بن يوسف بن يعقوب الجعفي من كتابه وأصله وهو يدل على أن له كتابا وأصلا وانه من مشايخ الرواية ’’انتهى’’. </w:t>
      </w:r>
    </w:p>
    <w:p>
      <w:pPr>
        <w:jc w:val="start"/>
        <w:bidi/>
      </w:pPr>
      <w:r>
        <w:rPr>
          <w:sz w:val="24"/>
          <w:szCs w:val="24"/>
          <w:b w:val="1"/>
          <w:bCs w:val="1"/>
          <w:rtl/>
        </w:rPr>
        <w:t xml:space="preserve">
أعيان الشيعة،(دار التعارف للمطبوعات - بيروت،1983،ط 1،ج 3،ص 215)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2026-07-11T12:12:03+03:00</dcterms:created>
  <dcterms:modified xsi:type="dcterms:W3CDTF">2026-07-11T12:12:03+03:00</dcterms:modified>
</cp:coreProperties>
</file>

<file path=docProps/custom.xml><?xml version="1.0" encoding="utf-8"?>
<Properties xmlns="http://schemas.openxmlformats.org/officeDocument/2006/custom-properties" xmlns:vt="http://schemas.openxmlformats.org/officeDocument/2006/docPropsVTypes"/>
</file>