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أحمد بن النجار
</w:t>
      </w:r>
    </w:p>
    <w:p>
      <w:pPr>
        <w:jc w:val="start"/>
        <w:bidi/>
      </w:pPr>
      <w:r>
        <w:rPr>
          <w:rFonts w:ascii="arial" w:hAnsi="arial" w:eastAsia="arial" w:cs="arial"/>
          <w:sz w:val="28"/>
          <w:szCs w:val="28"/>
          <w:b w:val="1"/>
          <w:bCs w:val="1"/>
          <w:rtl/>
        </w:rPr>
        <w:t xml:space="preserve">الشيخ جمال الدين أحمد بن النجار
</w:t>
      </w:r>
    </w:p>
    <w:p>
      <w:pPr/>
      <w:r>
        <w:rPr/>
        <w:t xml:space="preserve">الشيخ جمال الدين أحمد بن النجار هو العالم الجليل الفقيه من خواص تلامذة الشهيد الأول صاحب الحاشية المعروفة بالنجارية على القواعد ذكر فيها إفادات الشهيد وتحقيقاته على القواعد وهي حاشية جليلة مشحونة بالفوائد ويأتي في ترجمة الشيخ حسن بن علي بن حسن النجار ظن صاحب الرياض أنه هو صاحب الحاشية النجارية وليس الأمر كذلك وقوله أن تلك الحاشية تنسب إلى الشهيد وبينا هناك أن سبب نسبتها إلى الشهيد إنها من تقريراته وتحقيقاته وإفاداته فراجع. </w:t>
      </w:r>
    </w:p>
    <w:p>
      <w:pPr>
        <w:jc w:val="start"/>
        <w:bidi/>
      </w:pPr>
      <w:r>
        <w:rPr>
          <w:sz w:val="24"/>
          <w:szCs w:val="24"/>
          <w:b w:val="1"/>
          <w:bCs w:val="1"/>
          <w:rtl/>
        </w:rPr>
        <w:t xml:space="preserve">
أعيان الشيعة،(دار التعارف للمطبوعات - بيروت،1983،ط 1،ج 3،ص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2026-07-11T09:40:15+03:00</dcterms:created>
  <dcterms:modified xsi:type="dcterms:W3CDTF">2026-07-11T09:40:15+03:00</dcterms:modified>
</cp:coreProperties>
</file>

<file path=docProps/custom.xml><?xml version="1.0" encoding="utf-8"?>
<Properties xmlns="http://schemas.openxmlformats.org/officeDocument/2006/custom-properties" xmlns:vt="http://schemas.openxmlformats.org/officeDocument/2006/docPropsVTypes"/>
</file>