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مكي الشهيدي العاملي
</w:t>
      </w:r>
    </w:p>
    <w:p>
      <w:pPr>
        <w:jc w:val="start"/>
        <w:bidi/>
      </w:pPr>
      <w:r>
        <w:rPr>
          <w:rFonts w:ascii="arial" w:hAnsi="arial" w:eastAsia="arial" w:cs="arial"/>
          <w:sz w:val="28"/>
          <w:szCs w:val="28"/>
          <w:b w:val="1"/>
          <w:bCs w:val="1"/>
          <w:rtl/>
        </w:rPr>
        <w:t xml:space="preserve">الشيخ أحمد بن مكي الشهيدي العاملي
</w:t>
      </w:r>
    </w:p>
    <w:p>
      <w:pPr/>
      <w:r>
        <w:rPr/>
        <w:t xml:space="preserve">الشيخ أحمد بن مكي الشهيدي العاملي من أحفاد الشهيد الأول وجد بخطه الجزء الثاني من كتاب الإنسان تأليف أحمد بن عمار المهدوي التميمي المتوفى بعد سنة 430 صاحب تفسير جامع علوم التنزيل، وأصل الكتاب مرتب على مائة مجلس كل مجلس مشتمل على خطبة مسجعة ونكات أخلاقية وحكايات ظريفة في ضمن فصول وتاريخ كتابة النسخة 1052 وقف فاضل خان كما في فهرست مكتبة المدرسة الفاضلية، والظاهر أنه هو الشيخ أحمد الشهيدي العاملي مترجم كشكول البهائي إلى الفارسية المتقدم في الجزء الثامن. </w:t>
      </w:r>
    </w:p>
    <w:p>
      <w:pPr>
        <w:jc w:val="start"/>
        <w:bidi/>
      </w:pPr>
      <w:r>
        <w:rPr>
          <w:sz w:val="24"/>
          <w:szCs w:val="24"/>
          <w:b w:val="1"/>
          <w:bCs w:val="1"/>
          <w:rtl/>
        </w:rPr>
        <w:t xml:space="preserve">
أعيان الشيعة،(دار التعارف للمطبوعات - بيروت،1983،ط 1،ج 3،ص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2026-07-11T08:43:36+03:00</dcterms:created>
  <dcterms:modified xsi:type="dcterms:W3CDTF">2026-07-11T08:43:36+03:00</dcterms:modified>
</cp:coreProperties>
</file>

<file path=docProps/custom.xml><?xml version="1.0" encoding="utf-8"?>
<Properties xmlns="http://schemas.openxmlformats.org/officeDocument/2006/custom-properties" xmlns:vt="http://schemas.openxmlformats.org/officeDocument/2006/docPropsVTypes"/>
</file>