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قيس
</w:t>
      </w:r>
    </w:p>
    <w:p>
      <w:pPr>
        <w:jc w:val="start"/>
        <w:bidi/>
      </w:pPr>
      <w:r>
        <w:rPr>
          <w:rFonts w:ascii="arial" w:hAnsi="arial" w:eastAsia="arial" w:cs="arial"/>
          <w:sz w:val="28"/>
          <w:szCs w:val="28"/>
          <w:b w:val="1"/>
          <w:bCs w:val="1"/>
          <w:rtl/>
        </w:rPr>
        <w:t xml:space="preserve">إبراهيم بن قيس
</w:t>
      </w:r>
    </w:p>
    <w:p>
      <w:pPr/>
      <w:r>
        <w:rPr/>
        <w:t xml:space="preserve">إبراهيم بن قيس  إبراهيم بن قيس بن سليمان، أبو اسحاق الهمداني الحضرمي: من ائمة الاباضية. ولد في حضر موت، واستعان بالخليل بن شاذان (الامام الاباضي بعمان) فاعانه بجند ومال، فاستولى على حضر موت باسم الخليل. واقامه الخليل عاملا عليها، واقره الامام راشد بن سعيد، ثم قلد امر الامامة بعد ذلك. وكان شجاعا جلدا على احتمال المشاق، وله غزوات إلى الهند. اظهر دعوته في حياة ابيه، بعد سنة 459 هـ. وكان شاعرا، له مصنفات منها (مختصر الخصال - ط) و (السيف النقاد - ط) ديولن شعره. </w:t>
      </w:r>
    </w:p>
    <w:p>
      <w:pPr>
        <w:jc w:val="start"/>
        <w:bidi/>
      </w:pPr>
      <w:r>
        <w:rPr>
          <w:sz w:val="24"/>
          <w:szCs w:val="24"/>
          <w:b w:val="1"/>
          <w:bCs w:val="1"/>
          <w:rtl/>
        </w:rPr>
        <w:t xml:space="preserve">
الأعلام،(دار العلم للملايين - بيروت،2002،ط 15،ج 1،ص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2026-07-01T22:32:16+03:00</dcterms:created>
  <dcterms:modified xsi:type="dcterms:W3CDTF">2026-07-01T22:32:16+03:00</dcterms:modified>
</cp:coreProperties>
</file>

<file path=docProps/custom.xml><?xml version="1.0" encoding="utf-8"?>
<Properties xmlns="http://schemas.openxmlformats.org/officeDocument/2006/custom-properties" xmlns:vt="http://schemas.openxmlformats.org/officeDocument/2006/docPropsVTypes"/>
</file>